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hint="default" w:ascii="Times New Roman" w:hAnsi="Times New Roman" w:eastAsia="宋体" w:cs="Times New Roman"/>
          <w:b/>
          <w:bCs/>
          <w:color w:val="auto"/>
          <w:spacing w:val="32"/>
          <w:kern w:val="0"/>
          <w:sz w:val="32"/>
          <w:szCs w:val="32"/>
          <w:lang w:val="en-US" w:eastAsia="zh-CN"/>
        </w:rPr>
      </w:pPr>
      <w:r>
        <w:rPr>
          <w:rFonts w:hint="eastAsia" w:ascii="Times New Roman" w:hAnsi="Times New Roman" w:eastAsia="宋体" w:cs="Times New Roman"/>
          <w:b/>
          <w:bCs/>
          <w:color w:val="auto"/>
          <w:spacing w:val="32"/>
          <w:kern w:val="0"/>
          <w:sz w:val="32"/>
          <w:szCs w:val="32"/>
          <w:lang w:eastAsia="zh-CN"/>
        </w:rPr>
        <w:t>武汉钢铁有限公司</w:t>
      </w:r>
      <w:r>
        <w:rPr>
          <w:rFonts w:hint="eastAsia" w:cs="Times New Roman"/>
          <w:b/>
          <w:bCs/>
          <w:color w:val="auto"/>
          <w:spacing w:val="32"/>
          <w:kern w:val="0"/>
          <w:sz w:val="32"/>
          <w:szCs w:val="32"/>
          <w:lang w:val="en-US" w:eastAsia="zh-CN"/>
        </w:rPr>
        <w:t>节能低碳技术服务—</w:t>
      </w:r>
      <w:r>
        <w:rPr>
          <w:rFonts w:hint="eastAsia" w:ascii="Times New Roman" w:hAnsi="Times New Roman" w:eastAsia="宋体" w:cs="Times New Roman"/>
          <w:b/>
          <w:bCs/>
          <w:color w:val="auto"/>
          <w:spacing w:val="32"/>
          <w:kern w:val="0"/>
          <w:sz w:val="32"/>
          <w:szCs w:val="32"/>
          <w:lang w:val="en-US" w:eastAsia="zh-CN"/>
        </w:rPr>
        <w:t>申报</w:t>
      </w:r>
      <w:r>
        <w:rPr>
          <w:rFonts w:hint="default" w:ascii="Times New Roman" w:hAnsi="Times New Roman" w:eastAsia="宋体" w:cs="Times New Roman"/>
          <w:b/>
          <w:bCs/>
          <w:color w:val="auto"/>
          <w:spacing w:val="32"/>
          <w:kern w:val="0"/>
          <w:sz w:val="32"/>
          <w:szCs w:val="32"/>
          <w:lang w:val="en-US" w:eastAsia="zh-CN"/>
        </w:rPr>
        <w:t>2023年中央预算内投资计划节能减碳专项</w:t>
      </w:r>
      <w:r>
        <w:rPr>
          <w:rFonts w:hint="eastAsia" w:ascii="Times New Roman" w:hAnsi="Times New Roman" w:eastAsia="宋体" w:cs="Times New Roman"/>
          <w:b/>
          <w:bCs/>
          <w:color w:val="auto"/>
          <w:spacing w:val="32"/>
          <w:kern w:val="0"/>
          <w:sz w:val="32"/>
          <w:szCs w:val="32"/>
          <w:lang w:eastAsia="zh-CN"/>
        </w:rPr>
        <w:t>咨询</w:t>
      </w:r>
      <w:r>
        <w:rPr>
          <w:rFonts w:hint="eastAsia" w:ascii="Times New Roman" w:hAnsi="Times New Roman" w:eastAsia="宋体" w:cs="Times New Roman"/>
          <w:b/>
          <w:bCs/>
          <w:color w:val="auto"/>
          <w:spacing w:val="32"/>
          <w:kern w:val="0"/>
          <w:sz w:val="32"/>
          <w:szCs w:val="32"/>
          <w:lang w:val="en-US" w:eastAsia="zh-CN"/>
        </w:rPr>
        <w:t>服务</w:t>
      </w:r>
    </w:p>
    <w:p>
      <w:pPr>
        <w:pStyle w:val="23"/>
        <w:ind w:firstLine="0"/>
        <w:jc w:val="center"/>
        <w:rPr>
          <w:rFonts w:hint="eastAsia"/>
          <w:b/>
          <w:bCs/>
          <w:color w:val="auto"/>
          <w:spacing w:val="32"/>
          <w:kern w:val="0"/>
          <w:sz w:val="32"/>
          <w:szCs w:val="32"/>
          <w:lang w:eastAsia="zh-CN"/>
        </w:rPr>
      </w:pPr>
    </w:p>
    <w:p>
      <w:pPr>
        <w:pStyle w:val="23"/>
        <w:ind w:firstLine="0"/>
        <w:jc w:val="center"/>
        <w:rPr>
          <w:rFonts w:hint="eastAsia"/>
          <w:b/>
          <w:bCs/>
          <w:color w:val="auto"/>
          <w:spacing w:val="32"/>
          <w:kern w:val="0"/>
          <w:sz w:val="32"/>
          <w:szCs w:val="32"/>
          <w:lang w:eastAsia="zh-CN"/>
        </w:rPr>
      </w:pP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竞</w:t>
      </w: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争</w:t>
      </w: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性</w:t>
      </w: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谈</w:t>
      </w: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判</w:t>
      </w:r>
    </w:p>
    <w:p>
      <w:pPr>
        <w:spacing w:line="1000" w:lineRule="exact"/>
        <w:jc w:val="center"/>
        <w:rPr>
          <w:rFonts w:ascii="宋体"/>
          <w:b/>
          <w:bCs/>
          <w:color w:val="auto"/>
          <w:w w:val="150"/>
          <w:kern w:val="0"/>
          <w:sz w:val="90"/>
          <w:szCs w:val="90"/>
        </w:rPr>
      </w:pPr>
      <w:r>
        <w:rPr>
          <w:rFonts w:hint="eastAsia" w:ascii="宋体" w:hAnsi="宋体" w:cs="宋体"/>
          <w:b/>
          <w:bCs/>
          <w:color w:val="auto"/>
          <w:w w:val="150"/>
          <w:kern w:val="0"/>
          <w:sz w:val="90"/>
          <w:szCs w:val="90"/>
        </w:rPr>
        <w:t>文</w:t>
      </w:r>
    </w:p>
    <w:p>
      <w:pPr>
        <w:spacing w:line="1000" w:lineRule="exact"/>
        <w:jc w:val="center"/>
        <w:rPr>
          <w:rFonts w:hint="eastAsia" w:ascii="宋体" w:hAnsi="宋体" w:cs="宋体"/>
          <w:b/>
          <w:bCs/>
          <w:color w:val="auto"/>
          <w:w w:val="150"/>
          <w:kern w:val="0"/>
          <w:sz w:val="90"/>
          <w:szCs w:val="90"/>
        </w:rPr>
      </w:pPr>
      <w:r>
        <w:rPr>
          <w:rFonts w:hint="eastAsia" w:ascii="宋体" w:hAnsi="宋体" w:cs="宋体"/>
          <w:b/>
          <w:bCs/>
          <w:color w:val="auto"/>
          <w:w w:val="150"/>
          <w:kern w:val="0"/>
          <w:sz w:val="90"/>
          <w:szCs w:val="90"/>
        </w:rPr>
        <w:t>件</w:t>
      </w:r>
    </w:p>
    <w:p>
      <w:pPr>
        <w:spacing w:line="360" w:lineRule="auto"/>
        <w:rPr>
          <w:rFonts w:ascii="宋体"/>
          <w:b/>
          <w:bCs/>
          <w:color w:val="auto"/>
          <w:w w:val="93"/>
          <w:kern w:val="0"/>
          <w:sz w:val="32"/>
          <w:szCs w:val="32"/>
        </w:rPr>
      </w:pPr>
    </w:p>
    <w:p>
      <w:pPr>
        <w:pStyle w:val="23"/>
        <w:ind w:left="0" w:leftChars="0" w:firstLine="0" w:firstLineChars="0"/>
        <w:rPr>
          <w:color w:val="auto"/>
        </w:rPr>
      </w:pPr>
    </w:p>
    <w:p>
      <w:pPr>
        <w:pStyle w:val="23"/>
        <w:ind w:left="0" w:leftChars="0" w:firstLine="0" w:firstLineChars="0"/>
        <w:rPr>
          <w:color w:val="auto"/>
        </w:rPr>
      </w:pPr>
    </w:p>
    <w:p>
      <w:pPr>
        <w:spacing w:line="360" w:lineRule="auto"/>
        <w:rPr>
          <w:rFonts w:ascii="宋体"/>
          <w:b/>
          <w:bCs/>
          <w:color w:val="auto"/>
          <w:w w:val="93"/>
          <w:kern w:val="0"/>
          <w:sz w:val="32"/>
          <w:szCs w:val="32"/>
        </w:rPr>
      </w:pPr>
      <w:r>
        <w:rPr>
          <w:rFonts w:hint="eastAsia" w:ascii="宋体" w:hAnsi="宋体" w:cs="宋体"/>
          <w:b/>
          <w:bCs/>
          <w:color w:val="auto"/>
          <w:w w:val="93"/>
          <w:kern w:val="0"/>
          <w:sz w:val="32"/>
          <w:szCs w:val="32"/>
        </w:rPr>
        <w:t>采</w:t>
      </w:r>
      <w:r>
        <w:rPr>
          <w:rFonts w:ascii="宋体" w:hAnsi="宋体" w:cs="宋体"/>
          <w:b/>
          <w:bCs/>
          <w:color w:val="auto"/>
          <w:w w:val="93"/>
          <w:kern w:val="0"/>
          <w:sz w:val="32"/>
          <w:szCs w:val="32"/>
        </w:rPr>
        <w:t xml:space="preserve">   </w:t>
      </w:r>
      <w:r>
        <w:rPr>
          <w:rFonts w:hint="eastAsia" w:ascii="宋体" w:hAnsi="宋体" w:cs="宋体"/>
          <w:b/>
          <w:bCs/>
          <w:color w:val="auto"/>
          <w:w w:val="93"/>
          <w:kern w:val="0"/>
          <w:sz w:val="32"/>
          <w:szCs w:val="32"/>
        </w:rPr>
        <w:t>购</w:t>
      </w:r>
      <w:r>
        <w:rPr>
          <w:rFonts w:ascii="宋体" w:hAnsi="宋体" w:cs="宋体"/>
          <w:b/>
          <w:bCs/>
          <w:color w:val="auto"/>
          <w:w w:val="93"/>
          <w:kern w:val="0"/>
          <w:sz w:val="32"/>
          <w:szCs w:val="32"/>
        </w:rPr>
        <w:t xml:space="preserve">   </w:t>
      </w:r>
      <w:r>
        <w:rPr>
          <w:rFonts w:hint="eastAsia" w:ascii="宋体" w:hAnsi="宋体" w:cs="宋体"/>
          <w:b/>
          <w:bCs/>
          <w:color w:val="auto"/>
          <w:w w:val="93"/>
          <w:kern w:val="0"/>
          <w:sz w:val="32"/>
          <w:szCs w:val="32"/>
        </w:rPr>
        <w:t>人</w:t>
      </w:r>
      <w:r>
        <w:rPr>
          <w:rFonts w:ascii="宋体" w:hAnsi="宋体" w:cs="宋体"/>
          <w:b/>
          <w:bCs/>
          <w:color w:val="auto"/>
          <w:w w:val="93"/>
          <w:kern w:val="0"/>
          <w:sz w:val="32"/>
          <w:szCs w:val="32"/>
        </w:rPr>
        <w:t xml:space="preserve"> </w:t>
      </w:r>
      <w:r>
        <w:rPr>
          <w:rFonts w:hint="eastAsia" w:ascii="宋体" w:hAnsi="宋体" w:cs="宋体"/>
          <w:b/>
          <w:bCs/>
          <w:color w:val="auto"/>
          <w:w w:val="93"/>
          <w:kern w:val="0"/>
          <w:sz w:val="32"/>
          <w:szCs w:val="32"/>
        </w:rPr>
        <w:t>：中钢集团武汉安全环保研究院有限公司</w:t>
      </w:r>
    </w:p>
    <w:p>
      <w:pPr>
        <w:spacing w:line="360" w:lineRule="auto"/>
        <w:ind w:left="1782" w:hanging="1782" w:hangingChars="600"/>
        <w:rPr>
          <w:rFonts w:hint="default" w:ascii="宋体" w:hAnsi="宋体" w:eastAsia="宋体" w:cs="宋体"/>
          <w:b/>
          <w:bCs/>
          <w:color w:val="auto"/>
          <w:w w:val="93"/>
          <w:kern w:val="0"/>
          <w:sz w:val="32"/>
          <w:szCs w:val="32"/>
          <w:lang w:val="en-US" w:eastAsia="zh-CN"/>
        </w:rPr>
      </w:pPr>
      <w:r>
        <w:rPr>
          <w:rFonts w:hint="eastAsia" w:ascii="宋体" w:hAnsi="宋体" w:eastAsia="宋体" w:cs="宋体"/>
          <w:b/>
          <w:bCs/>
          <w:color w:val="auto"/>
          <w:w w:val="93"/>
          <w:kern w:val="0"/>
          <w:sz w:val="32"/>
          <w:szCs w:val="32"/>
        </w:rPr>
        <w:t>项 目 名 称：</w:t>
      </w:r>
      <w:r>
        <w:rPr>
          <w:rFonts w:hint="eastAsia" w:ascii="宋体" w:hAnsi="宋体" w:eastAsia="宋体" w:cs="宋体"/>
          <w:b/>
          <w:bCs/>
          <w:color w:val="auto"/>
          <w:w w:val="93"/>
          <w:kern w:val="0"/>
          <w:sz w:val="32"/>
          <w:szCs w:val="32"/>
          <w:lang w:val="en-US" w:eastAsia="zh-CN"/>
        </w:rPr>
        <w:t>武汉钢铁有限公司五烧结</w:t>
      </w:r>
      <w:r>
        <w:rPr>
          <w:rFonts w:hint="eastAsia" w:ascii="宋体" w:hAnsi="宋体" w:cs="宋体"/>
          <w:b/>
          <w:bCs/>
          <w:color w:val="auto"/>
          <w:w w:val="93"/>
          <w:kern w:val="0"/>
          <w:sz w:val="32"/>
          <w:szCs w:val="32"/>
          <w:lang w:val="en-US" w:eastAsia="zh-CN"/>
        </w:rPr>
        <w:t>节能减碳</w:t>
      </w:r>
      <w:r>
        <w:rPr>
          <w:rFonts w:hint="eastAsia" w:ascii="宋体" w:hAnsi="宋体" w:eastAsia="宋体" w:cs="宋体"/>
          <w:b/>
          <w:bCs/>
          <w:color w:val="auto"/>
          <w:w w:val="93"/>
          <w:kern w:val="0"/>
          <w:sz w:val="32"/>
          <w:szCs w:val="32"/>
          <w:lang w:val="en-US" w:eastAsia="zh-CN"/>
        </w:rPr>
        <w:t>改造项目-申报2023年中央预算内投资计划</w:t>
      </w:r>
      <w:r>
        <w:rPr>
          <w:rFonts w:hint="default" w:ascii="宋体" w:hAnsi="宋体" w:eastAsia="宋体" w:cs="宋体"/>
          <w:b/>
          <w:bCs/>
          <w:color w:val="auto"/>
          <w:w w:val="93"/>
          <w:kern w:val="0"/>
          <w:sz w:val="32"/>
          <w:szCs w:val="32"/>
          <w:lang w:val="en-US" w:eastAsia="zh-CN"/>
        </w:rPr>
        <w:t>节能减碳</w:t>
      </w:r>
      <w:r>
        <w:rPr>
          <w:rFonts w:hint="eastAsia" w:ascii="宋体" w:hAnsi="宋体" w:eastAsia="宋体" w:cs="宋体"/>
          <w:b/>
          <w:bCs/>
          <w:color w:val="auto"/>
          <w:w w:val="93"/>
          <w:kern w:val="0"/>
          <w:sz w:val="32"/>
          <w:szCs w:val="32"/>
          <w:lang w:val="en-US" w:eastAsia="zh-CN"/>
        </w:rPr>
        <w:t>专项咨询服务</w:t>
      </w:r>
    </w:p>
    <w:p>
      <w:pPr>
        <w:spacing w:line="360" w:lineRule="auto"/>
        <w:jc w:val="center"/>
        <w:rPr>
          <w:rFonts w:ascii="宋体"/>
          <w:b/>
          <w:bCs/>
          <w:color w:val="auto"/>
          <w:sz w:val="28"/>
          <w:szCs w:val="28"/>
        </w:rPr>
      </w:pPr>
      <w:r>
        <w:rPr>
          <w:rFonts w:hint="eastAsia" w:ascii="宋体" w:hAnsi="宋体" w:cs="宋体"/>
          <w:b/>
          <w:bCs/>
          <w:color w:val="auto"/>
          <w:sz w:val="28"/>
          <w:szCs w:val="28"/>
        </w:rPr>
        <w:t>二</w:t>
      </w:r>
      <w:r>
        <w:rPr>
          <w:rFonts w:ascii="宋体" w:cs="宋体"/>
          <w:b/>
          <w:bCs/>
          <w:color w:val="auto"/>
          <w:sz w:val="28"/>
          <w:szCs w:val="28"/>
        </w:rPr>
        <w:t>0</w:t>
      </w:r>
      <w:r>
        <w:rPr>
          <w:rFonts w:hint="eastAsia" w:ascii="宋体" w:hAnsi="宋体" w:cs="宋体"/>
          <w:b/>
          <w:bCs/>
          <w:color w:val="auto"/>
          <w:sz w:val="28"/>
          <w:szCs w:val="28"/>
        </w:rPr>
        <w:t>二</w:t>
      </w:r>
      <w:r>
        <w:rPr>
          <w:rFonts w:hint="eastAsia" w:ascii="宋体" w:hAnsi="宋体" w:cs="宋体"/>
          <w:b/>
          <w:bCs/>
          <w:color w:val="auto"/>
          <w:sz w:val="28"/>
          <w:szCs w:val="28"/>
          <w:lang w:val="en-US" w:eastAsia="zh-CN"/>
        </w:rPr>
        <w:t>三</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三</w:t>
      </w:r>
      <w:r>
        <w:rPr>
          <w:rFonts w:hint="eastAsia" w:ascii="宋体" w:hAnsi="宋体" w:cs="宋体"/>
          <w:b/>
          <w:bCs/>
          <w:color w:val="auto"/>
          <w:sz w:val="28"/>
          <w:szCs w:val="28"/>
        </w:rPr>
        <w:t>月</w:t>
      </w:r>
    </w:p>
    <w:p>
      <w:pPr>
        <w:widowControl/>
        <w:jc w:val="left"/>
        <w:rPr>
          <w:rFonts w:ascii="宋体"/>
          <w:b/>
          <w:bCs/>
          <w:color w:val="auto"/>
          <w:sz w:val="36"/>
          <w:szCs w:val="36"/>
        </w:rPr>
        <w:sectPr>
          <w:footerReference r:id="rId3" w:type="default"/>
          <w:pgSz w:w="11906" w:h="16838"/>
          <w:pgMar w:top="1701" w:right="1644" w:bottom="1701" w:left="1644" w:header="851" w:footer="992" w:gutter="0"/>
          <w:pgNumType w:start="1"/>
          <w:cols w:space="720" w:num="1"/>
          <w:docGrid w:type="linesAndChars" w:linePitch="312" w:charSpace="0"/>
        </w:sectPr>
      </w:pPr>
    </w:p>
    <w:p>
      <w:pPr>
        <w:pStyle w:val="22"/>
        <w:ind w:firstLine="300"/>
        <w:rPr>
          <w:color w:val="auto"/>
        </w:rPr>
      </w:pPr>
    </w:p>
    <w:p>
      <w:pPr>
        <w:jc w:val="center"/>
        <w:rPr>
          <w:b/>
          <w:bCs/>
          <w:color w:val="auto"/>
          <w:sz w:val="48"/>
          <w:szCs w:val="48"/>
        </w:rPr>
      </w:pPr>
      <w:r>
        <w:rPr>
          <w:rFonts w:hint="eastAsia" w:ascii="宋体" w:hAnsi="宋体" w:cs="宋体"/>
          <w:b/>
          <w:bCs/>
          <w:color w:val="auto"/>
          <w:sz w:val="48"/>
          <w:szCs w:val="48"/>
        </w:rPr>
        <w:t>目录</w:t>
      </w:r>
    </w:p>
    <w:p>
      <w:pPr>
        <w:pStyle w:val="18"/>
        <w:tabs>
          <w:tab w:val="right" w:leader="dot" w:pos="9355"/>
        </w:tabs>
        <w:spacing w:line="720" w:lineRule="auto"/>
        <w:rPr>
          <w:b/>
          <w:bCs/>
          <w:color w:val="auto"/>
          <w:sz w:val="32"/>
          <w:szCs w:val="32"/>
        </w:rPr>
      </w:pPr>
      <w:r>
        <w:rPr>
          <w:b/>
          <w:bCs/>
          <w:color w:val="auto"/>
          <w:sz w:val="32"/>
          <w:szCs w:val="32"/>
        </w:rPr>
        <w:fldChar w:fldCharType="begin"/>
      </w:r>
      <w:r>
        <w:rPr>
          <w:b/>
          <w:bCs/>
          <w:color w:val="auto"/>
          <w:sz w:val="32"/>
          <w:szCs w:val="32"/>
        </w:rPr>
        <w:instrText xml:space="preserve"> TOC \o "1-3" \h \z \u </w:instrText>
      </w:r>
      <w:r>
        <w:rPr>
          <w:b/>
          <w:bCs/>
          <w:color w:val="auto"/>
          <w:sz w:val="32"/>
          <w:szCs w:val="32"/>
        </w:rPr>
        <w:fldChar w:fldCharType="separate"/>
      </w:r>
      <w:r>
        <w:rPr>
          <w:color w:val="auto"/>
        </w:rPr>
        <w:fldChar w:fldCharType="begin"/>
      </w:r>
      <w:r>
        <w:rPr>
          <w:color w:val="auto"/>
        </w:rPr>
        <w:instrText xml:space="preserve"> HYPERLINK \l "_Toc5510" </w:instrText>
      </w:r>
      <w:r>
        <w:rPr>
          <w:color w:val="auto"/>
        </w:rPr>
        <w:fldChar w:fldCharType="separate"/>
      </w:r>
      <w:r>
        <w:rPr>
          <w:rFonts w:hint="eastAsia" w:ascii="宋体" w:hAnsi="宋体" w:cs="宋体"/>
          <w:b/>
          <w:bCs/>
          <w:color w:val="auto"/>
          <w:spacing w:val="-20"/>
          <w:kern w:val="0"/>
          <w:sz w:val="32"/>
          <w:szCs w:val="32"/>
        </w:rPr>
        <w:t>第一章</w:t>
      </w:r>
      <w:r>
        <w:rPr>
          <w:rFonts w:ascii="宋体" w:hAnsi="宋体" w:cs="宋体"/>
          <w:b/>
          <w:bCs/>
          <w:color w:val="auto"/>
          <w:spacing w:val="-20"/>
          <w:kern w:val="0"/>
          <w:sz w:val="32"/>
          <w:szCs w:val="32"/>
        </w:rPr>
        <w:t xml:space="preserve">  </w:t>
      </w:r>
      <w:r>
        <w:rPr>
          <w:rFonts w:hint="eastAsia" w:ascii="宋体" w:hAnsi="宋体" w:cs="宋体"/>
          <w:b/>
          <w:bCs/>
          <w:color w:val="auto"/>
          <w:spacing w:val="-20"/>
          <w:kern w:val="0"/>
          <w:sz w:val="32"/>
          <w:szCs w:val="32"/>
        </w:rPr>
        <w:t>竞争性谈判公告</w:t>
      </w:r>
      <w:r>
        <w:rPr>
          <w:b/>
          <w:bCs/>
          <w:color w:val="auto"/>
          <w:sz w:val="32"/>
          <w:szCs w:val="32"/>
        </w:rPr>
        <w:tab/>
      </w:r>
      <w:r>
        <w:rPr>
          <w:b/>
          <w:bCs/>
          <w:color w:val="auto"/>
          <w:sz w:val="32"/>
          <w:szCs w:val="32"/>
        </w:rPr>
        <w:fldChar w:fldCharType="begin"/>
      </w:r>
      <w:r>
        <w:rPr>
          <w:b/>
          <w:bCs/>
          <w:color w:val="auto"/>
          <w:sz w:val="32"/>
          <w:szCs w:val="32"/>
        </w:rPr>
        <w:instrText xml:space="preserve"> PAGEREF _Toc5510 </w:instrText>
      </w:r>
      <w:r>
        <w:rPr>
          <w:b/>
          <w:bCs/>
          <w:color w:val="auto"/>
          <w:sz w:val="32"/>
          <w:szCs w:val="32"/>
        </w:rPr>
        <w:fldChar w:fldCharType="separate"/>
      </w:r>
      <w:r>
        <w:rPr>
          <w:b/>
          <w:bCs/>
          <w:color w:val="auto"/>
          <w:sz w:val="32"/>
          <w:szCs w:val="32"/>
        </w:rPr>
        <w:t>4</w:t>
      </w:r>
      <w:r>
        <w:rPr>
          <w:b/>
          <w:bCs/>
          <w:color w:val="auto"/>
          <w:sz w:val="32"/>
          <w:szCs w:val="32"/>
        </w:rPr>
        <w:fldChar w:fldCharType="end"/>
      </w:r>
      <w:r>
        <w:rPr>
          <w:b/>
          <w:bCs/>
          <w:color w:val="auto"/>
          <w:sz w:val="32"/>
          <w:szCs w:val="32"/>
        </w:rPr>
        <w:fldChar w:fldCharType="end"/>
      </w:r>
    </w:p>
    <w:p>
      <w:pPr>
        <w:pStyle w:val="18"/>
        <w:tabs>
          <w:tab w:val="right" w:leader="dot" w:pos="9355"/>
        </w:tabs>
        <w:spacing w:line="720" w:lineRule="auto"/>
        <w:rPr>
          <w:b/>
          <w:bCs/>
          <w:color w:val="auto"/>
          <w:sz w:val="32"/>
          <w:szCs w:val="32"/>
        </w:rPr>
      </w:pPr>
      <w:r>
        <w:rPr>
          <w:color w:val="auto"/>
        </w:rPr>
        <w:fldChar w:fldCharType="begin"/>
      </w:r>
      <w:r>
        <w:rPr>
          <w:color w:val="auto"/>
        </w:rPr>
        <w:instrText xml:space="preserve"> HYPERLINK \l "_Toc2482" </w:instrText>
      </w:r>
      <w:r>
        <w:rPr>
          <w:color w:val="auto"/>
        </w:rPr>
        <w:fldChar w:fldCharType="separate"/>
      </w:r>
      <w:r>
        <w:rPr>
          <w:rFonts w:hint="eastAsia" w:ascii="宋体" w:hAnsi="宋体" w:cs="宋体"/>
          <w:b/>
          <w:bCs/>
          <w:color w:val="auto"/>
          <w:spacing w:val="-20"/>
          <w:kern w:val="0"/>
          <w:sz w:val="32"/>
          <w:szCs w:val="32"/>
        </w:rPr>
        <w:t>第二章</w:t>
      </w:r>
      <w:r>
        <w:rPr>
          <w:rFonts w:ascii="宋体" w:hAnsi="宋体" w:cs="宋体"/>
          <w:b/>
          <w:bCs/>
          <w:color w:val="auto"/>
          <w:spacing w:val="-20"/>
          <w:kern w:val="0"/>
          <w:sz w:val="32"/>
          <w:szCs w:val="32"/>
        </w:rPr>
        <w:t xml:space="preserve">  </w:t>
      </w:r>
      <w:r>
        <w:rPr>
          <w:rFonts w:hint="eastAsia" w:ascii="宋体" w:hAnsi="宋体" w:cs="宋体"/>
          <w:b/>
          <w:bCs/>
          <w:color w:val="auto"/>
          <w:spacing w:val="-20"/>
          <w:kern w:val="0"/>
          <w:sz w:val="32"/>
          <w:szCs w:val="32"/>
        </w:rPr>
        <w:t>供应商须知</w:t>
      </w:r>
      <w:r>
        <w:rPr>
          <w:b/>
          <w:bCs/>
          <w:color w:val="auto"/>
          <w:sz w:val="32"/>
          <w:szCs w:val="32"/>
        </w:rPr>
        <w:tab/>
      </w:r>
      <w:r>
        <w:rPr>
          <w:b/>
          <w:bCs/>
          <w:color w:val="auto"/>
          <w:sz w:val="32"/>
          <w:szCs w:val="32"/>
        </w:rPr>
        <w:fldChar w:fldCharType="begin"/>
      </w:r>
      <w:r>
        <w:rPr>
          <w:b/>
          <w:bCs/>
          <w:color w:val="auto"/>
          <w:sz w:val="32"/>
          <w:szCs w:val="32"/>
        </w:rPr>
        <w:instrText xml:space="preserve"> PAGEREF _Toc2482 </w:instrText>
      </w:r>
      <w:r>
        <w:rPr>
          <w:b/>
          <w:bCs/>
          <w:color w:val="auto"/>
          <w:sz w:val="32"/>
          <w:szCs w:val="32"/>
        </w:rPr>
        <w:fldChar w:fldCharType="separate"/>
      </w:r>
      <w:r>
        <w:rPr>
          <w:b/>
          <w:bCs/>
          <w:color w:val="auto"/>
          <w:sz w:val="32"/>
          <w:szCs w:val="32"/>
        </w:rPr>
        <w:t>4</w:t>
      </w:r>
      <w:r>
        <w:rPr>
          <w:b/>
          <w:bCs/>
          <w:color w:val="auto"/>
          <w:sz w:val="32"/>
          <w:szCs w:val="32"/>
        </w:rPr>
        <w:fldChar w:fldCharType="end"/>
      </w:r>
      <w:r>
        <w:rPr>
          <w:b/>
          <w:bCs/>
          <w:color w:val="auto"/>
          <w:sz w:val="32"/>
          <w:szCs w:val="32"/>
        </w:rPr>
        <w:fldChar w:fldCharType="end"/>
      </w:r>
    </w:p>
    <w:p>
      <w:pPr>
        <w:pStyle w:val="18"/>
        <w:tabs>
          <w:tab w:val="right" w:leader="dot" w:pos="9355"/>
        </w:tabs>
        <w:spacing w:line="720" w:lineRule="auto"/>
        <w:rPr>
          <w:b/>
          <w:bCs/>
          <w:color w:val="auto"/>
          <w:sz w:val="32"/>
          <w:szCs w:val="32"/>
        </w:rPr>
      </w:pPr>
      <w:r>
        <w:rPr>
          <w:color w:val="auto"/>
        </w:rPr>
        <w:fldChar w:fldCharType="begin"/>
      </w:r>
      <w:r>
        <w:rPr>
          <w:color w:val="auto"/>
        </w:rPr>
        <w:instrText xml:space="preserve"> HYPERLINK \l "_Toc29073" </w:instrText>
      </w:r>
      <w:r>
        <w:rPr>
          <w:color w:val="auto"/>
        </w:rPr>
        <w:fldChar w:fldCharType="separate"/>
      </w:r>
      <w:r>
        <w:rPr>
          <w:rFonts w:hint="eastAsia" w:ascii="宋体" w:hAnsi="宋体" w:cs="宋体"/>
          <w:b/>
          <w:bCs/>
          <w:color w:val="auto"/>
          <w:sz w:val="32"/>
          <w:szCs w:val="32"/>
        </w:rPr>
        <w:t>第三章</w:t>
      </w:r>
      <w:r>
        <w:rPr>
          <w:rFonts w:ascii="宋体" w:hAnsi="宋体" w:cs="宋体"/>
          <w:b/>
          <w:bCs/>
          <w:color w:val="auto"/>
          <w:sz w:val="32"/>
          <w:szCs w:val="32"/>
        </w:rPr>
        <w:t xml:space="preserve"> </w:t>
      </w:r>
      <w:r>
        <w:rPr>
          <w:rFonts w:hint="eastAsia" w:ascii="宋体" w:hAnsi="宋体" w:cs="宋体"/>
          <w:b/>
          <w:bCs/>
          <w:color w:val="auto"/>
          <w:sz w:val="32"/>
          <w:szCs w:val="32"/>
        </w:rPr>
        <w:t>采购项目技术参数及要求</w:t>
      </w:r>
      <w:r>
        <w:rPr>
          <w:b/>
          <w:bCs/>
          <w:color w:val="auto"/>
          <w:sz w:val="32"/>
          <w:szCs w:val="32"/>
        </w:rPr>
        <w:tab/>
      </w:r>
      <w:r>
        <w:rPr>
          <w:b/>
          <w:bCs/>
          <w:color w:val="auto"/>
          <w:sz w:val="32"/>
          <w:szCs w:val="32"/>
        </w:rPr>
        <w:fldChar w:fldCharType="begin"/>
      </w:r>
      <w:r>
        <w:rPr>
          <w:b/>
          <w:bCs/>
          <w:color w:val="auto"/>
          <w:sz w:val="32"/>
          <w:szCs w:val="32"/>
        </w:rPr>
        <w:instrText xml:space="preserve"> PAGEREF _Toc29073 </w:instrText>
      </w:r>
      <w:r>
        <w:rPr>
          <w:b/>
          <w:bCs/>
          <w:color w:val="auto"/>
          <w:sz w:val="32"/>
          <w:szCs w:val="32"/>
        </w:rPr>
        <w:fldChar w:fldCharType="separate"/>
      </w:r>
      <w:r>
        <w:rPr>
          <w:b/>
          <w:bCs/>
          <w:color w:val="auto"/>
          <w:sz w:val="32"/>
          <w:szCs w:val="32"/>
        </w:rPr>
        <w:t>14</w:t>
      </w:r>
      <w:r>
        <w:rPr>
          <w:b/>
          <w:bCs/>
          <w:color w:val="auto"/>
          <w:sz w:val="32"/>
          <w:szCs w:val="32"/>
        </w:rPr>
        <w:fldChar w:fldCharType="end"/>
      </w:r>
      <w:r>
        <w:rPr>
          <w:b/>
          <w:bCs/>
          <w:color w:val="auto"/>
          <w:sz w:val="32"/>
          <w:szCs w:val="32"/>
        </w:rPr>
        <w:fldChar w:fldCharType="end"/>
      </w:r>
    </w:p>
    <w:p>
      <w:pPr>
        <w:pStyle w:val="18"/>
        <w:tabs>
          <w:tab w:val="right" w:leader="dot" w:pos="9355"/>
        </w:tabs>
        <w:spacing w:line="720" w:lineRule="auto"/>
        <w:rPr>
          <w:b/>
          <w:bCs/>
          <w:color w:val="auto"/>
          <w:sz w:val="32"/>
          <w:szCs w:val="32"/>
        </w:rPr>
      </w:pPr>
      <w:r>
        <w:rPr>
          <w:color w:val="auto"/>
        </w:rPr>
        <w:fldChar w:fldCharType="begin"/>
      </w:r>
      <w:r>
        <w:rPr>
          <w:color w:val="auto"/>
        </w:rPr>
        <w:instrText xml:space="preserve"> HYPERLINK \l "_Toc23873" </w:instrText>
      </w:r>
      <w:r>
        <w:rPr>
          <w:color w:val="auto"/>
        </w:rPr>
        <w:fldChar w:fldCharType="separate"/>
      </w:r>
      <w:r>
        <w:rPr>
          <w:rFonts w:hint="eastAsia" w:ascii="宋体" w:hAnsi="宋体" w:cs="宋体"/>
          <w:b/>
          <w:bCs/>
          <w:color w:val="auto"/>
          <w:sz w:val="32"/>
          <w:szCs w:val="32"/>
        </w:rPr>
        <w:t>第四章</w:t>
      </w:r>
      <w:r>
        <w:rPr>
          <w:rFonts w:ascii="宋体" w:hAnsi="宋体" w:cs="宋体"/>
          <w:b/>
          <w:bCs/>
          <w:color w:val="auto"/>
          <w:sz w:val="32"/>
          <w:szCs w:val="32"/>
        </w:rPr>
        <w:t xml:space="preserve"> </w:t>
      </w:r>
      <w:r>
        <w:rPr>
          <w:rFonts w:hint="eastAsia" w:ascii="宋体" w:hAnsi="宋体" w:cs="宋体"/>
          <w:b/>
          <w:bCs/>
          <w:color w:val="auto"/>
          <w:sz w:val="32"/>
          <w:szCs w:val="32"/>
        </w:rPr>
        <w:t>评审方法、步骤及标准</w:t>
      </w:r>
      <w:r>
        <w:rPr>
          <w:b/>
          <w:bCs/>
          <w:color w:val="auto"/>
          <w:sz w:val="32"/>
          <w:szCs w:val="32"/>
        </w:rPr>
        <w:tab/>
      </w:r>
      <w:r>
        <w:rPr>
          <w:b/>
          <w:bCs/>
          <w:color w:val="auto"/>
          <w:sz w:val="32"/>
          <w:szCs w:val="32"/>
        </w:rPr>
        <w:fldChar w:fldCharType="begin"/>
      </w:r>
      <w:r>
        <w:rPr>
          <w:b/>
          <w:bCs/>
          <w:color w:val="auto"/>
          <w:sz w:val="32"/>
          <w:szCs w:val="32"/>
        </w:rPr>
        <w:instrText xml:space="preserve"> PAGEREF _Toc23873 </w:instrText>
      </w:r>
      <w:r>
        <w:rPr>
          <w:b/>
          <w:bCs/>
          <w:color w:val="auto"/>
          <w:sz w:val="32"/>
          <w:szCs w:val="32"/>
        </w:rPr>
        <w:fldChar w:fldCharType="separate"/>
      </w:r>
      <w:r>
        <w:rPr>
          <w:b/>
          <w:bCs/>
          <w:color w:val="auto"/>
          <w:sz w:val="32"/>
          <w:szCs w:val="32"/>
        </w:rPr>
        <w:t>14</w:t>
      </w:r>
      <w:r>
        <w:rPr>
          <w:b/>
          <w:bCs/>
          <w:color w:val="auto"/>
          <w:sz w:val="32"/>
          <w:szCs w:val="32"/>
        </w:rPr>
        <w:fldChar w:fldCharType="end"/>
      </w:r>
      <w:r>
        <w:rPr>
          <w:b/>
          <w:bCs/>
          <w:color w:val="auto"/>
          <w:sz w:val="32"/>
          <w:szCs w:val="32"/>
        </w:rPr>
        <w:fldChar w:fldCharType="end"/>
      </w:r>
    </w:p>
    <w:p>
      <w:pPr>
        <w:pStyle w:val="18"/>
        <w:tabs>
          <w:tab w:val="right" w:leader="dot" w:pos="9355"/>
        </w:tabs>
        <w:spacing w:line="720" w:lineRule="auto"/>
        <w:rPr>
          <w:b/>
          <w:bCs/>
          <w:color w:val="auto"/>
          <w:sz w:val="32"/>
          <w:szCs w:val="32"/>
        </w:rPr>
      </w:pPr>
      <w:r>
        <w:rPr>
          <w:color w:val="auto"/>
        </w:rPr>
        <w:fldChar w:fldCharType="begin"/>
      </w:r>
      <w:r>
        <w:rPr>
          <w:color w:val="auto"/>
        </w:rPr>
        <w:instrText xml:space="preserve"> HYPERLINK \l "_Toc7933" </w:instrText>
      </w:r>
      <w:r>
        <w:rPr>
          <w:color w:val="auto"/>
        </w:rPr>
        <w:fldChar w:fldCharType="separate"/>
      </w:r>
      <w:r>
        <w:rPr>
          <w:rFonts w:hint="eastAsia" w:ascii="宋体" w:hAnsi="宋体" w:cs="宋体"/>
          <w:b/>
          <w:bCs/>
          <w:color w:val="auto"/>
          <w:sz w:val="32"/>
          <w:szCs w:val="32"/>
        </w:rPr>
        <w:t>第五章</w:t>
      </w:r>
      <w:r>
        <w:rPr>
          <w:rFonts w:ascii="宋体" w:hAnsi="宋体" w:cs="宋体"/>
          <w:b/>
          <w:bCs/>
          <w:color w:val="auto"/>
          <w:sz w:val="32"/>
          <w:szCs w:val="32"/>
        </w:rPr>
        <w:t xml:space="preserve"> </w:t>
      </w:r>
      <w:r>
        <w:rPr>
          <w:rFonts w:hint="eastAsia" w:ascii="宋体" w:hAnsi="宋体" w:cs="宋体"/>
          <w:b/>
          <w:bCs/>
          <w:color w:val="auto"/>
          <w:sz w:val="32"/>
          <w:szCs w:val="32"/>
        </w:rPr>
        <w:t>合同主要条款</w:t>
      </w:r>
      <w:r>
        <w:rPr>
          <w:b/>
          <w:bCs/>
          <w:color w:val="auto"/>
          <w:sz w:val="32"/>
          <w:szCs w:val="32"/>
        </w:rPr>
        <w:tab/>
      </w:r>
      <w:r>
        <w:rPr>
          <w:b/>
          <w:bCs/>
          <w:color w:val="auto"/>
          <w:sz w:val="32"/>
          <w:szCs w:val="32"/>
        </w:rPr>
        <w:fldChar w:fldCharType="begin"/>
      </w:r>
      <w:r>
        <w:rPr>
          <w:b/>
          <w:bCs/>
          <w:color w:val="auto"/>
          <w:sz w:val="32"/>
          <w:szCs w:val="32"/>
        </w:rPr>
        <w:instrText xml:space="preserve"> PAGEREF _Toc7933 </w:instrText>
      </w:r>
      <w:r>
        <w:rPr>
          <w:b/>
          <w:bCs/>
          <w:color w:val="auto"/>
          <w:sz w:val="32"/>
          <w:szCs w:val="32"/>
        </w:rPr>
        <w:fldChar w:fldCharType="separate"/>
      </w:r>
      <w:r>
        <w:rPr>
          <w:b/>
          <w:bCs/>
          <w:color w:val="auto"/>
          <w:sz w:val="32"/>
          <w:szCs w:val="32"/>
        </w:rPr>
        <w:t>18</w:t>
      </w:r>
      <w:r>
        <w:rPr>
          <w:b/>
          <w:bCs/>
          <w:color w:val="auto"/>
          <w:sz w:val="32"/>
          <w:szCs w:val="32"/>
        </w:rPr>
        <w:fldChar w:fldCharType="end"/>
      </w:r>
      <w:r>
        <w:rPr>
          <w:b/>
          <w:bCs/>
          <w:color w:val="auto"/>
          <w:sz w:val="32"/>
          <w:szCs w:val="32"/>
        </w:rPr>
        <w:fldChar w:fldCharType="end"/>
      </w:r>
    </w:p>
    <w:p>
      <w:pPr>
        <w:pStyle w:val="18"/>
        <w:tabs>
          <w:tab w:val="right" w:leader="dot" w:pos="9355"/>
        </w:tabs>
        <w:spacing w:line="720" w:lineRule="auto"/>
        <w:rPr>
          <w:b/>
          <w:bCs/>
          <w:color w:val="auto"/>
          <w:sz w:val="32"/>
          <w:szCs w:val="32"/>
        </w:rPr>
      </w:pPr>
      <w:r>
        <w:rPr>
          <w:color w:val="auto"/>
        </w:rPr>
        <w:fldChar w:fldCharType="begin"/>
      </w:r>
      <w:r>
        <w:rPr>
          <w:color w:val="auto"/>
        </w:rPr>
        <w:instrText xml:space="preserve"> HYPERLINK \l "_Toc16211" </w:instrText>
      </w:r>
      <w:r>
        <w:rPr>
          <w:color w:val="auto"/>
        </w:rPr>
        <w:fldChar w:fldCharType="separate"/>
      </w:r>
      <w:r>
        <w:rPr>
          <w:rFonts w:hint="eastAsia" w:ascii="宋体" w:hAnsi="宋体" w:cs="宋体"/>
          <w:b/>
          <w:bCs/>
          <w:color w:val="auto"/>
          <w:spacing w:val="-20"/>
          <w:kern w:val="0"/>
          <w:sz w:val="32"/>
          <w:szCs w:val="32"/>
        </w:rPr>
        <w:t>第六章</w:t>
      </w:r>
      <w:r>
        <w:rPr>
          <w:rFonts w:ascii="宋体" w:hAnsi="宋体" w:cs="宋体"/>
          <w:b/>
          <w:bCs/>
          <w:color w:val="auto"/>
          <w:spacing w:val="-20"/>
          <w:kern w:val="0"/>
          <w:sz w:val="32"/>
          <w:szCs w:val="32"/>
        </w:rPr>
        <w:t xml:space="preserve">  </w:t>
      </w:r>
      <w:r>
        <w:rPr>
          <w:rFonts w:hint="eastAsia" w:ascii="宋体" w:hAnsi="宋体" w:cs="宋体"/>
          <w:b/>
          <w:bCs/>
          <w:color w:val="auto"/>
          <w:spacing w:val="-20"/>
          <w:kern w:val="0"/>
          <w:sz w:val="32"/>
          <w:szCs w:val="32"/>
        </w:rPr>
        <w:t>响应文件的组成</w:t>
      </w:r>
      <w:r>
        <w:rPr>
          <w:b/>
          <w:bCs/>
          <w:color w:val="auto"/>
          <w:sz w:val="32"/>
          <w:szCs w:val="32"/>
        </w:rPr>
        <w:tab/>
      </w:r>
      <w:r>
        <w:rPr>
          <w:b/>
          <w:bCs/>
          <w:color w:val="auto"/>
          <w:sz w:val="32"/>
          <w:szCs w:val="32"/>
        </w:rPr>
        <w:fldChar w:fldCharType="begin"/>
      </w:r>
      <w:r>
        <w:rPr>
          <w:b/>
          <w:bCs/>
          <w:color w:val="auto"/>
          <w:sz w:val="32"/>
          <w:szCs w:val="32"/>
        </w:rPr>
        <w:instrText xml:space="preserve"> PAGEREF _Toc16211 </w:instrText>
      </w:r>
      <w:r>
        <w:rPr>
          <w:b/>
          <w:bCs/>
          <w:color w:val="auto"/>
          <w:sz w:val="32"/>
          <w:szCs w:val="32"/>
        </w:rPr>
        <w:fldChar w:fldCharType="separate"/>
      </w:r>
      <w:r>
        <w:rPr>
          <w:b/>
          <w:bCs/>
          <w:color w:val="auto"/>
          <w:sz w:val="32"/>
          <w:szCs w:val="32"/>
        </w:rPr>
        <w:t>19</w:t>
      </w:r>
      <w:r>
        <w:rPr>
          <w:b/>
          <w:bCs/>
          <w:color w:val="auto"/>
          <w:sz w:val="32"/>
          <w:szCs w:val="32"/>
        </w:rPr>
        <w:fldChar w:fldCharType="end"/>
      </w:r>
      <w:r>
        <w:rPr>
          <w:b/>
          <w:bCs/>
          <w:color w:val="auto"/>
          <w:sz w:val="32"/>
          <w:szCs w:val="32"/>
        </w:rPr>
        <w:fldChar w:fldCharType="end"/>
      </w:r>
    </w:p>
    <w:p>
      <w:pPr>
        <w:spacing w:line="720" w:lineRule="auto"/>
        <w:rPr>
          <w:b/>
          <w:bCs/>
          <w:color w:val="auto"/>
          <w:sz w:val="32"/>
          <w:szCs w:val="32"/>
        </w:rPr>
      </w:pPr>
      <w:r>
        <w:rPr>
          <w:b/>
          <w:bCs/>
          <w:color w:val="auto"/>
          <w:sz w:val="32"/>
          <w:szCs w:val="32"/>
        </w:rPr>
        <w:fldChar w:fldCharType="end"/>
      </w:r>
    </w:p>
    <w:p>
      <w:pPr>
        <w:tabs>
          <w:tab w:val="left" w:pos="0"/>
        </w:tabs>
        <w:spacing w:line="360" w:lineRule="auto"/>
        <w:jc w:val="center"/>
        <w:rPr>
          <w:rFonts w:ascii="宋体"/>
          <w:b/>
          <w:bCs/>
          <w:color w:val="auto"/>
          <w:sz w:val="44"/>
          <w:szCs w:val="44"/>
        </w:rPr>
      </w:pPr>
    </w:p>
    <w:p>
      <w:pPr>
        <w:tabs>
          <w:tab w:val="center" w:pos="4677"/>
        </w:tabs>
        <w:bidi w:val="0"/>
        <w:jc w:val="left"/>
        <w:rPr>
          <w:rFonts w:ascii="Times New Roman" w:hAnsi="Times New Roman" w:eastAsia="宋体" w:cs="Times New Roman"/>
          <w:color w:val="auto"/>
          <w:kern w:val="2"/>
          <w:sz w:val="21"/>
          <w:szCs w:val="21"/>
          <w:lang w:val="en-US" w:eastAsia="zh-CN" w:bidi="ar-SA"/>
        </w:rPr>
        <w:sectPr>
          <w:footerReference r:id="rId4" w:type="default"/>
          <w:pgSz w:w="11906" w:h="16838"/>
          <w:pgMar w:top="1191" w:right="1304" w:bottom="1191" w:left="1247" w:header="851" w:footer="992" w:gutter="0"/>
          <w:pgNumType w:start="3"/>
          <w:cols w:space="720" w:num="1"/>
          <w:docGrid w:type="linesAndChars" w:linePitch="312" w:charSpace="0"/>
        </w:sectPr>
      </w:pPr>
      <w:r>
        <w:rPr>
          <w:rFonts w:hint="eastAsia" w:cs="Times New Roman"/>
          <w:color w:val="auto"/>
          <w:kern w:val="2"/>
          <w:sz w:val="21"/>
          <w:szCs w:val="21"/>
          <w:lang w:val="en-US" w:eastAsia="zh-CN" w:bidi="ar-SA"/>
        </w:rPr>
        <w:tab/>
      </w:r>
    </w:p>
    <w:p>
      <w:pPr>
        <w:tabs>
          <w:tab w:val="left" w:pos="0"/>
        </w:tabs>
        <w:spacing w:line="360" w:lineRule="auto"/>
        <w:jc w:val="center"/>
        <w:rPr>
          <w:rFonts w:ascii="宋体"/>
          <w:b/>
          <w:bCs/>
          <w:color w:val="000000"/>
          <w:sz w:val="44"/>
          <w:szCs w:val="44"/>
        </w:rPr>
      </w:pPr>
      <w:r>
        <w:rPr>
          <w:rFonts w:hint="eastAsia" w:ascii="宋体" w:hAnsi="宋体" w:cs="宋体"/>
          <w:b/>
          <w:bCs/>
          <w:color w:val="000000"/>
          <w:sz w:val="44"/>
          <w:szCs w:val="44"/>
        </w:rPr>
        <w:t>谈判文件</w:t>
      </w:r>
    </w:p>
    <w:p>
      <w:pPr>
        <w:widowControl/>
        <w:spacing w:line="360" w:lineRule="auto"/>
        <w:jc w:val="center"/>
        <w:outlineLvl w:val="0"/>
        <w:rPr>
          <w:rFonts w:hint="eastAsia" w:ascii="宋体" w:eastAsia="宋体"/>
          <w:b/>
          <w:bCs/>
          <w:color w:val="000000"/>
          <w:spacing w:val="-20"/>
          <w:kern w:val="0"/>
          <w:sz w:val="36"/>
          <w:szCs w:val="36"/>
          <w:lang w:eastAsia="zh-CN"/>
        </w:rPr>
      </w:pPr>
      <w:bookmarkStart w:id="0" w:name="_Toc515219956"/>
      <w:bookmarkStart w:id="1" w:name="_Toc515219895"/>
      <w:bookmarkStart w:id="2" w:name="_Toc5510"/>
      <w:r>
        <w:rPr>
          <w:rFonts w:hint="eastAsia" w:ascii="宋体" w:hAnsi="宋体" w:cs="宋体"/>
          <w:b/>
          <w:bCs/>
          <w:color w:val="000000"/>
          <w:spacing w:val="-20"/>
          <w:kern w:val="0"/>
          <w:sz w:val="36"/>
          <w:szCs w:val="36"/>
        </w:rPr>
        <w:t>第一章</w:t>
      </w:r>
      <w:r>
        <w:rPr>
          <w:rFonts w:ascii="宋体" w:hAnsi="宋体" w:cs="宋体"/>
          <w:b/>
          <w:bCs/>
          <w:color w:val="000000"/>
          <w:spacing w:val="-20"/>
          <w:kern w:val="0"/>
          <w:sz w:val="36"/>
          <w:szCs w:val="36"/>
        </w:rPr>
        <w:t xml:space="preserve">  </w:t>
      </w:r>
      <w:bookmarkEnd w:id="0"/>
      <w:bookmarkEnd w:id="1"/>
      <w:bookmarkEnd w:id="2"/>
      <w:bookmarkStart w:id="3" w:name="_Hlk69388731"/>
      <w:bookmarkStart w:id="4" w:name="_Toc515219957"/>
      <w:bookmarkStart w:id="5" w:name="_Toc2482"/>
      <w:bookmarkStart w:id="6" w:name="_Toc515219896"/>
      <w:r>
        <w:rPr>
          <w:rFonts w:hint="eastAsia" w:ascii="宋体" w:hAnsi="宋体" w:cs="宋体"/>
          <w:b/>
          <w:bCs/>
          <w:color w:val="000000"/>
          <w:spacing w:val="-20"/>
          <w:kern w:val="0"/>
          <w:sz w:val="36"/>
          <w:szCs w:val="36"/>
        </w:rPr>
        <w:t>竞争性谈判</w:t>
      </w:r>
      <w:r>
        <w:rPr>
          <w:rFonts w:hint="eastAsia" w:ascii="宋体" w:hAnsi="宋体" w:cs="宋体"/>
          <w:b/>
          <w:bCs/>
          <w:color w:val="000000"/>
          <w:spacing w:val="-20"/>
          <w:kern w:val="0"/>
          <w:sz w:val="36"/>
          <w:szCs w:val="36"/>
          <w:lang w:val="en-US" w:eastAsia="zh-CN"/>
        </w:rPr>
        <w:t>公告</w:t>
      </w:r>
    </w:p>
    <w:bookmarkEnd w:id="3"/>
    <w:p>
      <w:pPr>
        <w:pStyle w:val="21"/>
        <w:widowControl/>
        <w:spacing w:line="360" w:lineRule="auto"/>
        <w:jc w:val="both"/>
        <w:rPr>
          <w:rFonts w:ascii="Calibri" w:hAnsi="Calibri" w:cs="Calibri"/>
          <w:sz w:val="21"/>
          <w:szCs w:val="21"/>
        </w:rPr>
      </w:pPr>
      <w:r>
        <w:rPr>
          <w:rFonts w:hint="eastAsia" w:ascii="宋体" w:hAnsi="宋体" w:cs="宋体"/>
          <w:b/>
          <w:bCs/>
          <w:color w:val="000000"/>
          <w:shd w:val="clear" w:color="auto" w:fill="FFFFFF"/>
        </w:rPr>
        <w:t>项目概况</w:t>
      </w:r>
    </w:p>
    <w:p>
      <w:pPr>
        <w:tabs>
          <w:tab w:val="left" w:pos="4320"/>
        </w:tabs>
        <w:spacing w:line="360" w:lineRule="auto"/>
        <w:ind w:firstLine="480" w:firstLineChars="200"/>
        <w:rPr>
          <w:rFonts w:ascii="宋体" w:cs="宋体"/>
          <w:color w:val="auto"/>
          <w:kern w:val="0"/>
          <w:sz w:val="24"/>
          <w:szCs w:val="24"/>
          <w:u w:val="single"/>
        </w:rPr>
      </w:pPr>
      <w:r>
        <w:rPr>
          <w:rFonts w:hint="eastAsia" w:ascii="宋体" w:hAnsi="宋体" w:cs="宋体"/>
          <w:color w:val="auto"/>
          <w:kern w:val="0"/>
          <w:sz w:val="24"/>
          <w:szCs w:val="24"/>
          <w:u w:val="single"/>
          <w:lang w:val="en-US" w:eastAsia="zh-CN"/>
        </w:rPr>
        <w:t xml:space="preserve">武汉钢铁有限公司节能低碳技术服务—申报2023年中央预算内投资计划节能减碳专项咨询服务 </w:t>
      </w:r>
      <w:r>
        <w:rPr>
          <w:rFonts w:hint="eastAsia" w:ascii="宋体" w:hAnsi="宋体" w:cs="宋体"/>
          <w:color w:val="auto"/>
          <w:kern w:val="0"/>
          <w:sz w:val="24"/>
          <w:szCs w:val="24"/>
          <w:u w:val="none"/>
        </w:rPr>
        <w:t>采购</w:t>
      </w:r>
      <w:r>
        <w:rPr>
          <w:rFonts w:hint="eastAsia" w:ascii="宋体" w:hAnsi="宋体" w:cs="宋体"/>
          <w:color w:val="auto"/>
          <w:kern w:val="0"/>
          <w:sz w:val="24"/>
          <w:szCs w:val="24"/>
        </w:rPr>
        <w:t>项目的潜在供应商应在网络获取采购文件，并于</w:t>
      </w:r>
      <w:r>
        <w:rPr>
          <w:rFonts w:ascii="宋体" w:hAnsi="宋体" w:cs="宋体"/>
          <w:color w:val="auto"/>
          <w:kern w:val="0"/>
          <w:sz w:val="24"/>
          <w:szCs w:val="24"/>
          <w:u w:val="single"/>
        </w:rPr>
        <w:t>202</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年</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月</w:t>
      </w:r>
      <w:r>
        <w:rPr>
          <w:rFonts w:hint="eastAsia" w:ascii="宋体" w:hAnsi="宋体" w:cs="宋体"/>
          <w:color w:val="auto"/>
          <w:kern w:val="0"/>
          <w:sz w:val="24"/>
          <w:szCs w:val="24"/>
          <w:u w:val="single"/>
          <w:lang w:val="en-US" w:eastAsia="zh-CN"/>
        </w:rPr>
        <w:t>29</w:t>
      </w:r>
      <w:r>
        <w:rPr>
          <w:rFonts w:hint="eastAsia" w:ascii="宋体" w:hAnsi="宋体" w:cs="宋体"/>
          <w:color w:val="auto"/>
          <w:kern w:val="0"/>
          <w:sz w:val="24"/>
          <w:szCs w:val="24"/>
          <w:u w:val="single"/>
        </w:rPr>
        <w:t>日</w:t>
      </w:r>
      <w:r>
        <w:rPr>
          <w:rFonts w:hint="eastAsia" w:ascii="宋体" w:hAnsi="宋体" w:cs="宋体"/>
          <w:color w:val="auto"/>
          <w:kern w:val="0"/>
          <w:sz w:val="24"/>
          <w:szCs w:val="24"/>
          <w:u w:val="single"/>
          <w:lang w:val="en-US" w:eastAsia="zh-CN"/>
        </w:rPr>
        <w:t>09</w:t>
      </w:r>
      <w:r>
        <w:rPr>
          <w:rFonts w:hint="eastAsia" w:ascii="宋体" w:hAnsi="宋体" w:cs="宋体"/>
          <w:color w:val="auto"/>
          <w:kern w:val="0"/>
          <w:sz w:val="24"/>
          <w:szCs w:val="24"/>
          <w:u w:val="single"/>
        </w:rPr>
        <w:t>点</w:t>
      </w:r>
      <w:r>
        <w:rPr>
          <w:rFonts w:ascii="宋体" w:cs="宋体"/>
          <w:color w:val="auto"/>
          <w:kern w:val="0"/>
          <w:sz w:val="24"/>
          <w:szCs w:val="24"/>
          <w:u w:val="single"/>
        </w:rPr>
        <w:t>00</w:t>
      </w:r>
      <w:r>
        <w:rPr>
          <w:rFonts w:hint="eastAsia" w:ascii="宋体" w:hAnsi="宋体" w:cs="宋体"/>
          <w:color w:val="auto"/>
          <w:kern w:val="0"/>
          <w:sz w:val="24"/>
          <w:szCs w:val="24"/>
          <w:u w:val="single"/>
        </w:rPr>
        <w:t>分（北京时间）</w:t>
      </w:r>
      <w:r>
        <w:rPr>
          <w:rFonts w:hint="eastAsia" w:ascii="宋体" w:hAnsi="宋体" w:cs="宋体"/>
          <w:color w:val="auto"/>
          <w:kern w:val="0"/>
          <w:sz w:val="24"/>
          <w:szCs w:val="24"/>
        </w:rPr>
        <w:t>前提交响应文件。</w:t>
      </w:r>
    </w:p>
    <w:p>
      <w:pPr>
        <w:pStyle w:val="21"/>
        <w:widowControl/>
        <w:shd w:val="clear" w:color="auto" w:fill="FFFFFF"/>
        <w:spacing w:line="360" w:lineRule="auto"/>
        <w:rPr>
          <w:rFonts w:ascii="Calibri" w:hAnsi="Calibri" w:cs="Calibri"/>
          <w:color w:val="auto"/>
        </w:rPr>
      </w:pPr>
      <w:r>
        <w:rPr>
          <w:rFonts w:hint="eastAsia" w:ascii="宋体" w:hAnsi="宋体" w:cs="宋体"/>
          <w:b/>
          <w:bCs/>
          <w:color w:val="auto"/>
          <w:sz w:val="28"/>
          <w:szCs w:val="28"/>
          <w:shd w:val="clear" w:color="auto" w:fill="FFFFFF"/>
        </w:rPr>
        <w:t>一、项目基本情况</w:t>
      </w:r>
    </w:p>
    <w:p>
      <w:pPr>
        <w:pStyle w:val="21"/>
        <w:widowControl/>
        <w:spacing w:line="360" w:lineRule="auto"/>
        <w:jc w:val="both"/>
        <w:rPr>
          <w:rFonts w:hint="default" w:ascii="宋体" w:eastAsia="宋体"/>
          <w:color w:val="auto"/>
          <w:u w:val="single"/>
          <w:lang w:val="en-US" w:eastAsia="zh-CN"/>
        </w:rPr>
      </w:pPr>
      <w:r>
        <w:rPr>
          <w:rFonts w:ascii="宋体" w:hAnsi="宋体" w:cs="宋体"/>
          <w:color w:val="auto"/>
        </w:rPr>
        <w:t>1.1</w:t>
      </w:r>
      <w:r>
        <w:rPr>
          <w:rFonts w:hint="eastAsia" w:ascii="宋体" w:hAnsi="宋体" w:cs="宋体"/>
          <w:color w:val="auto"/>
        </w:rPr>
        <w:t>、项目编号：</w:t>
      </w:r>
      <w:r>
        <w:rPr>
          <w:rFonts w:hint="eastAsia" w:ascii="宋体" w:hAnsi="宋体" w:cs="宋体"/>
          <w:color w:val="auto"/>
          <w:lang w:val="en-US" w:eastAsia="zh-CN"/>
        </w:rPr>
        <w:t>SEPRI2023JT-02</w:t>
      </w:r>
    </w:p>
    <w:p>
      <w:pPr>
        <w:pStyle w:val="21"/>
        <w:widowControl/>
        <w:spacing w:line="360" w:lineRule="auto"/>
        <w:ind w:left="1920" w:hanging="1920" w:hangingChars="800"/>
        <w:jc w:val="both"/>
        <w:rPr>
          <w:rFonts w:hint="default" w:ascii="宋体" w:hAnsi="宋体" w:eastAsia="宋体" w:cs="宋体"/>
          <w:color w:val="auto"/>
          <w:kern w:val="0"/>
          <w:sz w:val="24"/>
          <w:szCs w:val="24"/>
          <w:u w:val="single"/>
          <w:lang w:val="en-US" w:eastAsia="zh-CN"/>
        </w:rPr>
      </w:pPr>
      <w:r>
        <w:rPr>
          <w:rFonts w:ascii="宋体" w:hAnsi="宋体" w:cs="宋体"/>
          <w:color w:val="auto"/>
        </w:rPr>
        <w:t>1.2</w:t>
      </w:r>
      <w:r>
        <w:rPr>
          <w:rFonts w:hint="eastAsia" w:ascii="宋体" w:hAnsi="宋体" w:cs="宋体"/>
          <w:color w:val="auto"/>
        </w:rPr>
        <w:t>、项目名称：</w:t>
      </w:r>
      <w:r>
        <w:rPr>
          <w:rFonts w:hint="eastAsia" w:ascii="宋体" w:hAnsi="宋体" w:cs="宋体"/>
          <w:color w:val="auto"/>
          <w:kern w:val="0"/>
          <w:sz w:val="24"/>
          <w:szCs w:val="24"/>
          <w:u w:val="single"/>
          <w:lang w:val="en-US" w:eastAsia="zh-CN"/>
        </w:rPr>
        <w:t>武汉钢铁有限公司五烧结节能减碳改造项目-申报2023年中央预算内投资计划</w:t>
      </w:r>
      <w:r>
        <w:rPr>
          <w:rFonts w:hint="default" w:ascii="宋体" w:hAnsi="宋体" w:cs="宋体"/>
          <w:color w:val="auto"/>
          <w:kern w:val="0"/>
          <w:sz w:val="24"/>
          <w:szCs w:val="24"/>
          <w:u w:val="single"/>
          <w:lang w:val="en-US" w:eastAsia="zh-CN"/>
        </w:rPr>
        <w:t>节能减碳</w:t>
      </w:r>
      <w:r>
        <w:rPr>
          <w:rFonts w:hint="eastAsia" w:ascii="宋体" w:hAnsi="宋体" w:cs="宋体"/>
          <w:color w:val="auto"/>
          <w:kern w:val="0"/>
          <w:sz w:val="24"/>
          <w:szCs w:val="24"/>
          <w:u w:val="single"/>
          <w:lang w:val="en-US" w:eastAsia="zh-CN"/>
        </w:rPr>
        <w:t>专项咨询服务</w:t>
      </w:r>
    </w:p>
    <w:p>
      <w:pPr>
        <w:pStyle w:val="21"/>
        <w:widowControl/>
        <w:spacing w:line="360" w:lineRule="auto"/>
        <w:ind w:left="1920" w:hanging="1920" w:hangingChars="800"/>
        <w:jc w:val="both"/>
        <w:rPr>
          <w:rFonts w:ascii="Calibri" w:hAnsi="Calibri" w:cs="Calibri"/>
          <w:color w:val="auto"/>
          <w:sz w:val="21"/>
          <w:szCs w:val="21"/>
        </w:rPr>
      </w:pPr>
      <w:r>
        <w:rPr>
          <w:rFonts w:ascii="宋体" w:hAnsi="宋体" w:cs="宋体"/>
          <w:color w:val="auto"/>
        </w:rPr>
        <w:t>1.3</w:t>
      </w:r>
      <w:r>
        <w:rPr>
          <w:rFonts w:hint="eastAsia" w:ascii="宋体" w:hAnsi="宋体" w:cs="宋体"/>
          <w:color w:val="auto"/>
        </w:rPr>
        <w:t>、采购方式：竞争性谈判</w:t>
      </w:r>
    </w:p>
    <w:p>
      <w:pPr>
        <w:pStyle w:val="21"/>
        <w:widowControl/>
        <w:spacing w:line="360" w:lineRule="auto"/>
        <w:jc w:val="both"/>
        <w:rPr>
          <w:rFonts w:hint="eastAsia" w:ascii="宋体" w:hAnsi="宋体" w:cs="宋体"/>
          <w:color w:val="auto"/>
        </w:rPr>
      </w:pPr>
      <w:r>
        <w:rPr>
          <w:rFonts w:ascii="宋体" w:hAnsi="宋体" w:cs="宋体"/>
          <w:color w:val="auto"/>
        </w:rPr>
        <w:t>1.4</w:t>
      </w:r>
      <w:r>
        <w:rPr>
          <w:rFonts w:hint="eastAsia" w:ascii="宋体" w:hAnsi="宋体" w:cs="宋体"/>
          <w:color w:val="auto"/>
        </w:rPr>
        <w:t>、采购需求：详见谈判文件</w:t>
      </w:r>
    </w:p>
    <w:p>
      <w:pPr>
        <w:pStyle w:val="21"/>
        <w:widowControl/>
        <w:spacing w:line="360" w:lineRule="auto"/>
        <w:jc w:val="both"/>
        <w:rPr>
          <w:rFonts w:ascii="宋体"/>
          <w:color w:val="auto"/>
        </w:rPr>
      </w:pPr>
      <w:r>
        <w:rPr>
          <w:rFonts w:ascii="宋体" w:hAnsi="宋体" w:cs="宋体"/>
          <w:color w:val="auto"/>
        </w:rPr>
        <w:t>1.</w:t>
      </w:r>
      <w:r>
        <w:rPr>
          <w:rFonts w:hint="eastAsia" w:ascii="宋体" w:hAnsi="宋体" w:cs="宋体"/>
          <w:color w:val="auto"/>
          <w:lang w:val="en-US" w:eastAsia="zh-CN"/>
        </w:rPr>
        <w:t>5</w:t>
      </w:r>
      <w:r>
        <w:rPr>
          <w:rFonts w:hint="eastAsia" w:ascii="宋体" w:hAnsi="宋体" w:cs="宋体"/>
          <w:color w:val="auto"/>
        </w:rPr>
        <w:t>、交货期：合同签订后</w:t>
      </w:r>
      <w:r>
        <w:rPr>
          <w:rFonts w:hint="eastAsia" w:ascii="宋体" w:hAnsi="宋体" w:cs="宋体"/>
          <w:color w:val="auto"/>
          <w:kern w:val="0"/>
          <w:sz w:val="24"/>
          <w:szCs w:val="24"/>
          <w:lang w:val="en-US" w:eastAsia="zh-CN"/>
        </w:rPr>
        <w:t>60</w:t>
      </w:r>
      <w:r>
        <w:rPr>
          <w:rFonts w:hint="eastAsia" w:ascii="宋体" w:hAnsi="宋体" w:cs="宋体"/>
          <w:color w:val="auto"/>
        </w:rPr>
        <w:t>天。</w:t>
      </w:r>
    </w:p>
    <w:p>
      <w:pPr>
        <w:pStyle w:val="21"/>
        <w:widowControl/>
        <w:spacing w:line="360" w:lineRule="auto"/>
        <w:jc w:val="both"/>
        <w:rPr>
          <w:rFonts w:hint="eastAsia" w:ascii="宋体" w:hAnsi="宋体" w:cs="宋体"/>
          <w:color w:val="auto"/>
        </w:rPr>
      </w:pPr>
      <w:r>
        <w:rPr>
          <w:rFonts w:ascii="宋体" w:hAnsi="宋体" w:cs="宋体"/>
          <w:color w:val="auto"/>
        </w:rPr>
        <w:t>1.</w:t>
      </w:r>
      <w:r>
        <w:rPr>
          <w:rFonts w:hint="eastAsia" w:ascii="宋体" w:hAnsi="宋体" w:cs="宋体"/>
          <w:color w:val="auto"/>
          <w:lang w:val="en-US" w:eastAsia="zh-CN"/>
        </w:rPr>
        <w:t>6</w:t>
      </w:r>
      <w:r>
        <w:rPr>
          <w:rFonts w:hint="eastAsia" w:ascii="宋体" w:hAnsi="宋体" w:cs="宋体"/>
          <w:color w:val="auto"/>
        </w:rPr>
        <w:t>、本项目不接受联合体</w:t>
      </w:r>
      <w:r>
        <w:rPr>
          <w:rFonts w:hint="eastAsia" w:ascii="宋体" w:hAnsi="宋体" w:cs="宋体"/>
          <w:color w:val="auto"/>
          <w:lang w:val="en-US" w:eastAsia="zh-CN"/>
        </w:rPr>
        <w:t>投标</w:t>
      </w:r>
      <w:r>
        <w:rPr>
          <w:rFonts w:hint="eastAsia" w:ascii="宋体" w:hAnsi="宋体" w:cs="宋体"/>
          <w:color w:val="auto"/>
        </w:rPr>
        <w:t>。</w:t>
      </w:r>
    </w:p>
    <w:p>
      <w:pPr>
        <w:pStyle w:val="21"/>
        <w:widowControl/>
        <w:shd w:val="clear" w:color="auto" w:fill="FFFFFF"/>
        <w:spacing w:line="360" w:lineRule="auto"/>
        <w:rPr>
          <w:rFonts w:ascii="Calibri" w:hAnsi="Calibri" w:cs="Calibri"/>
          <w:color w:val="auto"/>
        </w:rPr>
      </w:pPr>
      <w:r>
        <w:rPr>
          <w:rFonts w:hint="eastAsia" w:ascii="宋体" w:hAnsi="宋体" w:cs="宋体"/>
          <w:b/>
          <w:bCs/>
          <w:color w:val="auto"/>
          <w:sz w:val="28"/>
          <w:szCs w:val="28"/>
          <w:shd w:val="clear" w:color="auto" w:fill="FFFFFF"/>
        </w:rPr>
        <w:t>二、申请人的资格要求</w:t>
      </w:r>
    </w:p>
    <w:p>
      <w:pPr>
        <w:pStyle w:val="21"/>
        <w:widowControl/>
        <w:spacing w:line="360" w:lineRule="auto"/>
        <w:jc w:val="both"/>
        <w:rPr>
          <w:rFonts w:hint="eastAsia" w:ascii="宋体" w:hAnsi="宋体" w:cs="宋体"/>
          <w:color w:val="auto"/>
          <w:lang w:val="en-US" w:eastAsia="zh-CN"/>
        </w:rPr>
      </w:pPr>
      <w:r>
        <w:rPr>
          <w:rFonts w:hint="eastAsia" w:ascii="宋体" w:hAnsi="宋体" w:cs="宋体"/>
          <w:color w:val="auto"/>
          <w:lang w:val="en-US" w:eastAsia="zh-CN"/>
        </w:rPr>
        <w:t>（1）供应商必须符合《中华人民共和国政府采购法》第二十二条规定的条件。</w:t>
      </w:r>
    </w:p>
    <w:p>
      <w:pPr>
        <w:pStyle w:val="21"/>
        <w:widowControl/>
        <w:spacing w:line="360" w:lineRule="auto"/>
        <w:jc w:val="both"/>
        <w:rPr>
          <w:rFonts w:hint="eastAsia" w:ascii="宋体" w:hAnsi="宋体" w:cs="宋体"/>
          <w:color w:val="auto"/>
          <w:lang w:val="en-US" w:eastAsia="zh-CN"/>
        </w:rPr>
      </w:pPr>
      <w:r>
        <w:rPr>
          <w:rFonts w:hint="eastAsia" w:ascii="宋体" w:hAnsi="宋体" w:cs="宋体"/>
          <w:color w:val="auto"/>
          <w:lang w:val="en-US" w:eastAsia="zh-CN"/>
        </w:rPr>
        <w:t>（2）供应商必须是在中华人民共和国境内注册并取得《企业法人营业执照》。</w:t>
      </w:r>
    </w:p>
    <w:p>
      <w:pPr>
        <w:pStyle w:val="21"/>
        <w:widowControl/>
        <w:spacing w:line="360" w:lineRule="auto"/>
        <w:jc w:val="both"/>
        <w:rPr>
          <w:rFonts w:hint="eastAsia" w:ascii="宋体" w:hAnsi="宋体" w:cs="宋体"/>
          <w:color w:val="auto"/>
          <w:lang w:val="en-US" w:eastAsia="zh-CN"/>
        </w:rPr>
      </w:pPr>
      <w:r>
        <w:rPr>
          <w:rFonts w:hint="eastAsia" w:ascii="宋体" w:hAnsi="宋体" w:cs="宋体"/>
          <w:color w:val="auto"/>
          <w:lang w:val="en-US" w:eastAsia="zh-CN"/>
        </w:rPr>
        <w:t>（3）供应商近三年</w:t>
      </w:r>
      <w:r>
        <w:rPr>
          <w:rFonts w:hint="eastAsia" w:ascii="宋体" w:hAnsi="宋体" w:cs="宋体"/>
          <w:color w:val="auto"/>
          <w:highlight w:val="none"/>
          <w:lang w:val="en-US" w:eastAsia="zh-CN"/>
        </w:rPr>
        <w:t>内有类似咨询相关业绩</w:t>
      </w:r>
      <w:r>
        <w:rPr>
          <w:rFonts w:hint="eastAsia" w:ascii="宋体" w:hAnsi="宋体" w:cs="宋体"/>
          <w:color w:val="auto"/>
          <w:lang w:val="en-US" w:eastAsia="zh-CN"/>
        </w:rPr>
        <w:t>。</w:t>
      </w:r>
    </w:p>
    <w:p>
      <w:pPr>
        <w:pStyle w:val="21"/>
        <w:widowControl/>
        <w:spacing w:line="360" w:lineRule="auto"/>
        <w:jc w:val="both"/>
        <w:rPr>
          <w:rFonts w:hint="eastAsia" w:ascii="宋体" w:hAnsi="宋体" w:cs="宋体"/>
          <w:color w:val="auto"/>
          <w:lang w:val="en-US" w:eastAsia="zh-CN"/>
        </w:rPr>
      </w:pPr>
      <w:r>
        <w:rPr>
          <w:rFonts w:hint="eastAsia" w:ascii="宋体" w:hAnsi="宋体" w:cs="宋体"/>
          <w:color w:val="auto"/>
          <w:lang w:val="en-US" w:eastAsia="zh-CN"/>
        </w:rPr>
        <w:t>（4）供应商近三年未发生诉讼案件、未被列入失信被执行人、重大税收违法案件当事人名单、未被列入政府采购严重违法失信行为记录名单。（采购人一经发现供应商存在上述情况，有权取消供应商的谈判资格）。</w:t>
      </w:r>
    </w:p>
    <w:p>
      <w:pPr>
        <w:pStyle w:val="21"/>
        <w:widowControl/>
        <w:shd w:val="clear" w:color="auto" w:fill="FFFFFF"/>
        <w:spacing w:line="360" w:lineRule="auto"/>
        <w:rPr>
          <w:rFonts w:ascii="Calibri" w:hAnsi="Calibri" w:cs="Calibri"/>
          <w:color w:val="auto"/>
        </w:rPr>
      </w:pPr>
      <w:r>
        <w:rPr>
          <w:rFonts w:hint="eastAsia" w:ascii="宋体" w:hAnsi="宋体" w:cs="宋体"/>
          <w:b/>
          <w:bCs/>
          <w:color w:val="auto"/>
          <w:sz w:val="28"/>
          <w:szCs w:val="28"/>
          <w:shd w:val="clear" w:color="auto" w:fill="FFFFFF"/>
        </w:rPr>
        <w:t>三、获取采购文件</w:t>
      </w:r>
    </w:p>
    <w:p>
      <w:pPr>
        <w:pStyle w:val="21"/>
        <w:widowControl/>
        <w:spacing w:line="360" w:lineRule="auto"/>
        <w:ind w:firstLine="57"/>
        <w:jc w:val="both"/>
        <w:rPr>
          <w:rFonts w:ascii="Calibri" w:hAnsi="Calibri" w:cs="Calibri"/>
          <w:color w:val="auto"/>
          <w:sz w:val="21"/>
          <w:szCs w:val="21"/>
        </w:rPr>
      </w:pPr>
      <w:r>
        <w:rPr>
          <w:rFonts w:ascii="宋体" w:hAnsi="宋体" w:cs="宋体"/>
          <w:color w:val="auto"/>
        </w:rPr>
        <w:t>3.1</w:t>
      </w:r>
      <w:r>
        <w:rPr>
          <w:rFonts w:hint="eastAsia" w:ascii="宋体" w:hAnsi="宋体" w:cs="宋体"/>
          <w:color w:val="auto"/>
        </w:rPr>
        <w:t>、时间：</w:t>
      </w:r>
      <w:r>
        <w:rPr>
          <w:rFonts w:ascii="宋体" w:hAnsi="宋体" w:cs="宋体"/>
          <w:color w:val="auto"/>
        </w:rPr>
        <w:t>202</w:t>
      </w:r>
      <w:r>
        <w:rPr>
          <w:rFonts w:hint="eastAsia" w:ascii="宋体" w:hAnsi="宋体" w:cs="宋体"/>
          <w:color w:val="auto"/>
          <w:lang w:val="en-US" w:eastAsia="zh-CN"/>
        </w:rPr>
        <w:t>3</w:t>
      </w:r>
      <w:r>
        <w:rPr>
          <w:rFonts w:hint="eastAsia" w:ascii="宋体" w:hAnsi="宋体" w:cs="宋体"/>
          <w:color w:val="auto"/>
        </w:rPr>
        <w:t>年</w:t>
      </w:r>
      <w:r>
        <w:rPr>
          <w:rFonts w:hint="eastAsia" w:ascii="宋体" w:hAnsi="宋体" w:cs="宋体"/>
          <w:color w:val="auto"/>
          <w:lang w:val="en-US" w:eastAsia="zh-CN"/>
        </w:rPr>
        <w:t>3</w:t>
      </w:r>
      <w:r>
        <w:rPr>
          <w:rFonts w:hint="eastAsia" w:ascii="宋体" w:hAnsi="宋体" w:cs="宋体"/>
          <w:color w:val="auto"/>
        </w:rPr>
        <w:t>月</w:t>
      </w:r>
      <w:r>
        <w:rPr>
          <w:rFonts w:hint="eastAsia" w:ascii="宋体" w:hAnsi="宋体" w:cs="宋体"/>
          <w:color w:val="auto"/>
          <w:lang w:val="en-US" w:eastAsia="zh-CN"/>
        </w:rPr>
        <w:t>22</w:t>
      </w:r>
      <w:r>
        <w:rPr>
          <w:rFonts w:hint="eastAsia" w:ascii="宋体" w:hAnsi="宋体" w:cs="宋体"/>
          <w:color w:val="auto"/>
        </w:rPr>
        <w:t>日至</w:t>
      </w:r>
      <w:r>
        <w:rPr>
          <w:rFonts w:ascii="宋体" w:hAnsi="宋体" w:cs="宋体"/>
          <w:color w:val="auto"/>
        </w:rPr>
        <w:t>202</w:t>
      </w:r>
      <w:r>
        <w:rPr>
          <w:rFonts w:hint="eastAsia" w:ascii="宋体" w:hAnsi="宋体" w:cs="宋体"/>
          <w:color w:val="auto"/>
          <w:lang w:val="en-US" w:eastAsia="zh-CN"/>
        </w:rPr>
        <w:t>3</w:t>
      </w:r>
      <w:r>
        <w:rPr>
          <w:rFonts w:hint="eastAsia" w:ascii="宋体" w:hAnsi="宋体" w:cs="宋体"/>
          <w:color w:val="auto"/>
        </w:rPr>
        <w:t>年</w:t>
      </w:r>
      <w:r>
        <w:rPr>
          <w:rFonts w:hint="eastAsia" w:ascii="宋体" w:hAnsi="宋体" w:cs="宋体"/>
          <w:color w:val="auto"/>
          <w:lang w:val="en-US" w:eastAsia="zh-CN"/>
        </w:rPr>
        <w:t>3</w:t>
      </w:r>
      <w:r>
        <w:rPr>
          <w:rFonts w:hint="eastAsia" w:ascii="宋体" w:hAnsi="宋体" w:cs="宋体"/>
          <w:color w:val="auto"/>
        </w:rPr>
        <w:t>月</w:t>
      </w:r>
      <w:r>
        <w:rPr>
          <w:rFonts w:hint="eastAsia" w:ascii="宋体" w:hAnsi="宋体" w:cs="宋体"/>
          <w:color w:val="auto"/>
          <w:lang w:val="en-US" w:eastAsia="zh-CN"/>
        </w:rPr>
        <w:t>25</w:t>
      </w:r>
      <w:r>
        <w:rPr>
          <w:rFonts w:hint="eastAsia" w:ascii="宋体" w:hAnsi="宋体" w:cs="宋体"/>
          <w:color w:val="auto"/>
        </w:rPr>
        <w:t>日，每天上午</w:t>
      </w:r>
      <w:r>
        <w:rPr>
          <w:rFonts w:hint="eastAsia" w:ascii="宋体" w:hAnsi="宋体" w:cs="宋体"/>
          <w:color w:val="auto"/>
          <w:lang w:val="en-US" w:eastAsia="zh-CN"/>
        </w:rPr>
        <w:t>9</w:t>
      </w:r>
      <w:r>
        <w:rPr>
          <w:rFonts w:hint="eastAsia" w:ascii="宋体" w:hAnsi="宋体" w:cs="宋体"/>
          <w:color w:val="auto"/>
        </w:rPr>
        <w:t>：</w:t>
      </w:r>
      <w:r>
        <w:rPr>
          <w:rFonts w:hint="eastAsia" w:ascii="宋体" w:hAnsi="宋体" w:cs="宋体"/>
          <w:color w:val="auto"/>
          <w:lang w:val="en-US" w:eastAsia="zh-CN"/>
        </w:rPr>
        <w:t>00</w:t>
      </w:r>
      <w:r>
        <w:rPr>
          <w:rFonts w:hint="eastAsia" w:ascii="宋体" w:hAnsi="宋体" w:cs="宋体"/>
          <w:color w:val="auto"/>
        </w:rPr>
        <w:t>至</w:t>
      </w:r>
      <w:r>
        <w:rPr>
          <w:rFonts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w:t>
      </w:r>
      <w:r>
        <w:rPr>
          <w:rFonts w:hint="eastAsia" w:ascii="宋体" w:hAnsi="宋体" w:cs="宋体"/>
          <w:color w:val="auto"/>
          <w:lang w:val="en-US" w:eastAsia="zh-CN"/>
        </w:rPr>
        <w:t>0</w:t>
      </w:r>
      <w:r>
        <w:rPr>
          <w:rFonts w:ascii="宋体" w:hAnsi="宋体" w:cs="宋体"/>
          <w:color w:val="auto"/>
        </w:rPr>
        <w:t>0</w:t>
      </w:r>
      <w:r>
        <w:rPr>
          <w:rFonts w:hint="eastAsia" w:ascii="宋体" w:hAnsi="宋体" w:cs="宋体"/>
          <w:color w:val="auto"/>
        </w:rPr>
        <w:t>，下午</w:t>
      </w:r>
      <w:r>
        <w:rPr>
          <w:rFonts w:ascii="宋体" w:hAnsi="宋体" w:cs="宋体"/>
          <w:color w:val="auto"/>
        </w:rPr>
        <w:t>1</w:t>
      </w:r>
      <w:r>
        <w:rPr>
          <w:rFonts w:hint="eastAsia" w:ascii="宋体" w:hAnsi="宋体" w:cs="宋体"/>
          <w:color w:val="auto"/>
          <w:lang w:val="en-US" w:eastAsia="zh-CN"/>
        </w:rPr>
        <w:t>4</w:t>
      </w:r>
      <w:r>
        <w:rPr>
          <w:rFonts w:hint="eastAsia" w:ascii="宋体" w:hAnsi="宋体" w:cs="宋体"/>
          <w:color w:val="auto"/>
        </w:rPr>
        <w:t>：</w:t>
      </w:r>
      <w:r>
        <w:rPr>
          <w:rFonts w:hint="eastAsia" w:ascii="宋体" w:hAnsi="宋体" w:cs="宋体"/>
          <w:color w:val="auto"/>
          <w:lang w:val="en-US" w:eastAsia="zh-CN"/>
        </w:rPr>
        <w:t>0</w:t>
      </w:r>
      <w:r>
        <w:rPr>
          <w:rFonts w:ascii="宋体" w:cs="宋体"/>
          <w:color w:val="auto"/>
        </w:rPr>
        <w:t>0</w:t>
      </w:r>
      <w:r>
        <w:rPr>
          <w:rFonts w:hint="eastAsia" w:ascii="宋体" w:hAnsi="宋体" w:cs="宋体"/>
          <w:color w:val="auto"/>
        </w:rPr>
        <w:t>至</w:t>
      </w:r>
      <w:r>
        <w:rPr>
          <w:rFonts w:ascii="宋体" w:hAnsi="宋体" w:cs="宋体"/>
          <w:color w:val="auto"/>
        </w:rPr>
        <w:t>17</w:t>
      </w:r>
      <w:r>
        <w:rPr>
          <w:rFonts w:hint="eastAsia" w:ascii="宋体" w:hAnsi="宋体" w:cs="宋体"/>
          <w:color w:val="auto"/>
        </w:rPr>
        <w:t>：</w:t>
      </w:r>
      <w:r>
        <w:rPr>
          <w:rFonts w:hint="eastAsia" w:ascii="宋体" w:hAnsi="宋体" w:cs="宋体"/>
          <w:color w:val="auto"/>
          <w:lang w:val="en-US" w:eastAsia="zh-CN"/>
        </w:rPr>
        <w:t>0</w:t>
      </w:r>
      <w:r>
        <w:rPr>
          <w:rFonts w:ascii="宋体" w:hAnsi="宋体" w:cs="宋体"/>
          <w:color w:val="auto"/>
        </w:rPr>
        <w:t>0</w:t>
      </w:r>
      <w:r>
        <w:rPr>
          <w:rFonts w:hint="eastAsia" w:ascii="宋体" w:hAnsi="宋体" w:cs="宋体"/>
          <w:color w:val="auto"/>
        </w:rPr>
        <w:t>（北京时间，法定节假日除外</w:t>
      </w:r>
      <w:r>
        <w:rPr>
          <w:rFonts w:ascii="宋体"/>
          <w:color w:val="auto"/>
        </w:rPr>
        <w:t> </w:t>
      </w:r>
      <w:r>
        <w:rPr>
          <w:rFonts w:hint="eastAsia" w:ascii="宋体" w:hAnsi="宋体" w:cs="宋体"/>
          <w:color w:val="auto"/>
        </w:rPr>
        <w:t>）</w:t>
      </w:r>
    </w:p>
    <w:p>
      <w:pPr>
        <w:pStyle w:val="21"/>
        <w:widowControl/>
        <w:spacing w:line="360" w:lineRule="auto"/>
        <w:jc w:val="both"/>
        <w:rPr>
          <w:rFonts w:ascii="宋体"/>
          <w:color w:val="auto"/>
        </w:rPr>
      </w:pPr>
      <w:r>
        <w:rPr>
          <w:rFonts w:ascii="宋体" w:hAnsi="宋体" w:cs="宋体"/>
          <w:color w:val="auto"/>
        </w:rPr>
        <w:t>3.2</w:t>
      </w:r>
      <w:r>
        <w:rPr>
          <w:rFonts w:hint="eastAsia" w:ascii="宋体" w:hAnsi="宋体" w:cs="宋体"/>
          <w:color w:val="auto"/>
        </w:rPr>
        <w:t>、由采购人网上办理报名手续，获取文件的时效性以收到邮件时间为准。</w:t>
      </w:r>
    </w:p>
    <w:p>
      <w:pPr>
        <w:pStyle w:val="21"/>
        <w:widowControl/>
        <w:spacing w:line="360" w:lineRule="auto"/>
        <w:ind w:firstLine="57"/>
        <w:jc w:val="both"/>
        <w:rPr>
          <w:rFonts w:ascii="Calibri" w:hAnsi="Calibri" w:cs="Calibri"/>
          <w:color w:val="auto"/>
          <w:sz w:val="21"/>
          <w:szCs w:val="21"/>
        </w:rPr>
      </w:pPr>
      <w:r>
        <w:rPr>
          <w:rFonts w:ascii="宋体" w:hAnsi="宋体" w:cs="宋体"/>
          <w:color w:val="auto"/>
        </w:rPr>
        <w:t>3.3</w:t>
      </w:r>
      <w:r>
        <w:rPr>
          <w:rFonts w:hint="eastAsia" w:ascii="宋体" w:hAnsi="宋体" w:cs="宋体"/>
          <w:color w:val="auto"/>
        </w:rPr>
        <w:t>、方式：将加盖公章的报名资料扫描件发送到采购人公司邮箱（</w:t>
      </w:r>
      <w:r>
        <w:rPr>
          <w:rFonts w:hint="eastAsia" w:ascii="宋体" w:hAnsi="宋体" w:cs="宋体"/>
          <w:color w:val="auto"/>
          <w:lang w:val="en-US" w:eastAsia="zh-CN"/>
        </w:rPr>
        <w:t>460862282</w:t>
      </w:r>
      <w:r>
        <w:rPr>
          <w:rFonts w:ascii="宋体" w:hAnsi="宋体" w:cs="宋体"/>
          <w:color w:val="auto"/>
        </w:rPr>
        <w:t>@qq.com</w:t>
      </w:r>
      <w:r>
        <w:rPr>
          <w:rFonts w:hint="eastAsia" w:ascii="宋体" w:hAnsi="宋体" w:cs="宋体"/>
          <w:color w:val="auto"/>
        </w:rPr>
        <w:t>）</w:t>
      </w:r>
    </w:p>
    <w:p>
      <w:pPr>
        <w:pStyle w:val="21"/>
        <w:widowControl/>
        <w:spacing w:line="360" w:lineRule="auto"/>
        <w:jc w:val="both"/>
        <w:rPr>
          <w:rFonts w:hint="eastAsia" w:ascii="宋体" w:hAnsi="宋体" w:eastAsia="宋体" w:cs="宋体"/>
          <w:color w:val="auto"/>
          <w:lang w:val="en-US" w:eastAsia="zh-CN"/>
        </w:rPr>
      </w:pPr>
      <w:r>
        <w:rPr>
          <w:rFonts w:ascii="宋体" w:hAnsi="宋体" w:cs="宋体"/>
          <w:color w:val="auto"/>
        </w:rPr>
        <w:t>3.4</w:t>
      </w:r>
      <w:r>
        <w:rPr>
          <w:rFonts w:hint="eastAsia" w:ascii="宋体" w:hAnsi="宋体" w:cs="宋体"/>
          <w:color w:val="auto"/>
        </w:rPr>
        <w:t>、售价：</w:t>
      </w:r>
      <w:r>
        <w:rPr>
          <w:rFonts w:hint="eastAsia" w:ascii="宋体" w:hAnsi="宋体" w:cs="宋体"/>
          <w:color w:val="auto"/>
          <w:lang w:val="en-US" w:eastAsia="zh-CN"/>
        </w:rPr>
        <w:t>50</w:t>
      </w:r>
      <w:r>
        <w:rPr>
          <w:rFonts w:hint="eastAsia" w:ascii="宋体" w:hAnsi="宋体" w:cs="宋体"/>
          <w:color w:val="auto"/>
        </w:rPr>
        <w:t>元</w:t>
      </w:r>
      <w:r>
        <w:rPr>
          <w:rFonts w:hint="eastAsia" w:ascii="宋体" w:hAnsi="宋体" w:cs="宋体"/>
          <w:color w:val="auto"/>
          <w:lang w:val="en-US" w:eastAsia="zh-CN"/>
        </w:rPr>
        <w:t>.</w:t>
      </w:r>
    </w:p>
    <w:p>
      <w:pPr>
        <w:pStyle w:val="21"/>
        <w:widowControl/>
        <w:spacing w:line="360" w:lineRule="auto"/>
        <w:jc w:val="both"/>
        <w:rPr>
          <w:rFonts w:ascii="Calibri" w:hAnsi="Calibri" w:cs="Calibri"/>
          <w:color w:val="auto"/>
          <w:sz w:val="21"/>
          <w:szCs w:val="21"/>
        </w:rPr>
      </w:pPr>
      <w:r>
        <w:rPr>
          <w:rFonts w:ascii="宋体" w:hAnsi="宋体" w:cs="宋体"/>
          <w:color w:val="auto"/>
        </w:rPr>
        <w:t>3.5</w:t>
      </w:r>
      <w:r>
        <w:rPr>
          <w:rFonts w:hint="eastAsia" w:ascii="宋体" w:hAnsi="宋体" w:cs="宋体"/>
          <w:color w:val="auto"/>
        </w:rPr>
        <w:t>、报名要求</w:t>
      </w:r>
      <w:r>
        <w:rPr>
          <w:rFonts w:hint="eastAsia" w:ascii="宋体" w:hAnsi="宋体" w:cs="宋体"/>
          <w:color w:val="auto"/>
          <w:lang w:eastAsia="zh-CN"/>
        </w:rPr>
        <w:t>（</w:t>
      </w:r>
      <w:r>
        <w:rPr>
          <w:rFonts w:hint="eastAsia" w:ascii="宋体" w:hAnsi="宋体" w:cs="宋体"/>
          <w:color w:val="auto"/>
        </w:rPr>
        <w:t>供应商报名需要提供以下资料</w:t>
      </w:r>
      <w:r>
        <w:rPr>
          <w:rFonts w:hint="eastAsia" w:ascii="宋体" w:hAnsi="宋体" w:cs="宋体"/>
          <w:color w:val="auto"/>
          <w:lang w:eastAsia="zh-CN"/>
        </w:rPr>
        <w:t>）</w:t>
      </w:r>
      <w:r>
        <w:rPr>
          <w:rFonts w:hint="eastAsia" w:ascii="宋体" w:hAnsi="宋体" w:cs="宋体"/>
          <w:color w:val="auto"/>
        </w:rPr>
        <w:t>：</w:t>
      </w:r>
    </w:p>
    <w:p>
      <w:pPr>
        <w:pStyle w:val="21"/>
        <w:widowControl/>
        <w:spacing w:line="360" w:lineRule="auto"/>
        <w:jc w:val="both"/>
        <w:rPr>
          <w:rFonts w:ascii="Calibri" w:hAnsi="Calibri" w:cs="Calibri"/>
          <w:color w:val="auto"/>
          <w:sz w:val="21"/>
          <w:szCs w:val="21"/>
        </w:rPr>
      </w:pPr>
      <w:r>
        <w:rPr>
          <w:rFonts w:hint="eastAsia" w:ascii="宋体" w:hAnsi="宋体" w:cs="宋体"/>
          <w:color w:val="auto"/>
        </w:rPr>
        <w:t>（1）法定代表人资格证明和法定代表人授权委托书（签字盖章后的扫描件）；</w:t>
      </w:r>
    </w:p>
    <w:p>
      <w:pPr>
        <w:pStyle w:val="21"/>
        <w:widowControl/>
        <w:spacing w:line="360" w:lineRule="auto"/>
        <w:jc w:val="both"/>
        <w:rPr>
          <w:rFonts w:hint="eastAsia" w:ascii="宋体" w:hAnsi="宋体" w:eastAsia="宋体" w:cs="宋体"/>
          <w:color w:val="auto"/>
          <w:lang w:val="en-US" w:eastAsia="zh-CN"/>
        </w:rPr>
      </w:pPr>
      <w:r>
        <w:rPr>
          <w:rFonts w:hint="eastAsia" w:ascii="宋体" w:hAnsi="宋体" w:cs="宋体"/>
          <w:color w:val="auto"/>
        </w:rPr>
        <w:t>（2）</w:t>
      </w:r>
      <w:r>
        <w:rPr>
          <w:rFonts w:hint="eastAsia" w:ascii="宋体" w:hAnsi="宋体" w:cs="宋体"/>
          <w:color w:val="auto"/>
          <w:lang w:val="en-US" w:eastAsia="zh-CN"/>
        </w:rPr>
        <w:t>公告中“二、申请人的资格要求”</w:t>
      </w:r>
      <w:r>
        <w:rPr>
          <w:rFonts w:hint="eastAsia" w:ascii="宋体" w:hAnsi="宋体" w:cs="宋体"/>
          <w:color w:val="auto"/>
          <w:sz w:val="24"/>
          <w:szCs w:val="24"/>
        </w:rPr>
        <w:t>所要求的</w:t>
      </w:r>
      <w:r>
        <w:rPr>
          <w:rFonts w:hint="eastAsia" w:ascii="宋体" w:hAnsi="宋体" w:cs="宋体"/>
          <w:color w:val="auto"/>
          <w:sz w:val="24"/>
          <w:szCs w:val="24"/>
          <w:lang w:val="en-US" w:eastAsia="zh-CN"/>
        </w:rPr>
        <w:t>资料（</w:t>
      </w:r>
      <w:r>
        <w:rPr>
          <w:rFonts w:hint="eastAsia" w:ascii="宋体" w:hAnsi="宋体" w:cs="宋体"/>
          <w:color w:val="auto"/>
          <w:sz w:val="24"/>
          <w:szCs w:val="24"/>
        </w:rPr>
        <w:t>加盖公章的扫描件</w:t>
      </w:r>
      <w:r>
        <w:rPr>
          <w:rFonts w:hint="eastAsia" w:ascii="宋体" w:hAnsi="宋体" w:cs="宋体"/>
          <w:color w:val="auto"/>
          <w:sz w:val="24"/>
          <w:szCs w:val="24"/>
          <w:lang w:eastAsia="zh-CN"/>
        </w:rPr>
        <w:t>）</w:t>
      </w:r>
      <w:r>
        <w:rPr>
          <w:rFonts w:hint="eastAsia" w:ascii="宋体" w:hAnsi="宋体" w:cs="宋体"/>
          <w:color w:val="auto"/>
        </w:rPr>
        <w:t>；</w:t>
      </w:r>
      <w:r>
        <w:rPr>
          <w:rFonts w:hint="eastAsia" w:ascii="宋体" w:hAnsi="宋体" w:cs="宋体"/>
          <w:color w:val="auto"/>
          <w:lang w:val="en-US" w:eastAsia="zh-CN"/>
        </w:rPr>
        <w:t>（3）</w:t>
      </w:r>
      <w:r>
        <w:rPr>
          <w:rFonts w:hint="eastAsia" w:hAnsi="宋体"/>
          <w:color w:val="auto"/>
          <w:sz w:val="24"/>
          <w:szCs w:val="24"/>
        </w:rPr>
        <w:t>列入失信惩戒对象、失信被执行人名单</w:t>
      </w:r>
      <w:r>
        <w:rPr>
          <w:rFonts w:hint="eastAsia" w:hAnsi="宋体"/>
          <w:color w:val="auto"/>
          <w:sz w:val="24"/>
          <w:szCs w:val="24"/>
        </w:rPr>
        <w:fldChar w:fldCharType="begin"/>
      </w:r>
      <w:r>
        <w:rPr>
          <w:rFonts w:hint="eastAsia" w:hAnsi="宋体"/>
          <w:color w:val="auto"/>
          <w:sz w:val="24"/>
          <w:szCs w:val="24"/>
        </w:rPr>
        <w:instrText xml:space="preserve"> HYPERLINK "https://www.creditchina.gov.cn/" </w:instrText>
      </w:r>
      <w:r>
        <w:rPr>
          <w:rFonts w:hint="eastAsia" w:hAnsi="宋体"/>
          <w:color w:val="auto"/>
          <w:sz w:val="24"/>
          <w:szCs w:val="24"/>
        </w:rPr>
        <w:fldChar w:fldCharType="separate"/>
      </w:r>
      <w:r>
        <w:rPr>
          <w:rFonts w:hint="eastAsia" w:hAnsi="宋体"/>
          <w:color w:val="auto"/>
          <w:sz w:val="24"/>
          <w:szCs w:val="24"/>
        </w:rPr>
        <w:t>信用中国 (creditchina.gov.cn)</w:t>
      </w:r>
      <w:r>
        <w:rPr>
          <w:rFonts w:hint="eastAsia" w:hAnsi="宋体"/>
          <w:color w:val="auto"/>
          <w:sz w:val="24"/>
          <w:szCs w:val="24"/>
        </w:rPr>
        <w:fldChar w:fldCharType="end"/>
      </w:r>
      <w:r>
        <w:rPr>
          <w:rFonts w:hint="eastAsia" w:hAnsi="宋体"/>
          <w:color w:val="auto"/>
          <w:sz w:val="24"/>
          <w:szCs w:val="24"/>
        </w:rPr>
        <w:t>、信用服务版块、个人信用版块查询失信惩戒对象名单、失信被执行人名单查询单位和个人（查询对象：供应商、供应商法定代表人、授权委托人，并提供相关查询记录和查询结果）</w:t>
      </w:r>
      <w:r>
        <w:rPr>
          <w:rFonts w:hint="eastAsia" w:hAnsi="宋体"/>
          <w:color w:val="auto"/>
          <w:sz w:val="24"/>
          <w:szCs w:val="24"/>
          <w:lang w:eastAsia="zh-CN"/>
        </w:rPr>
        <w:t>。</w:t>
      </w:r>
    </w:p>
    <w:p>
      <w:pPr>
        <w:pStyle w:val="21"/>
        <w:widowControl/>
        <w:shd w:val="clear" w:color="auto" w:fill="FFFFFF"/>
        <w:spacing w:line="360" w:lineRule="auto"/>
        <w:ind w:left="720" w:hanging="843"/>
        <w:rPr>
          <w:rFonts w:ascii="Calibri" w:hAnsi="Calibri" w:cs="Calibri"/>
          <w:color w:val="auto"/>
        </w:rPr>
      </w:pPr>
      <w:r>
        <w:rPr>
          <w:rFonts w:hint="eastAsia" w:ascii="宋体" w:hAnsi="宋体" w:cs="宋体"/>
          <w:b/>
          <w:bCs/>
          <w:color w:val="auto"/>
          <w:sz w:val="28"/>
          <w:szCs w:val="28"/>
          <w:shd w:val="clear" w:color="auto" w:fill="FFFFFF"/>
        </w:rPr>
        <w:t>四、响应文件提交</w:t>
      </w:r>
    </w:p>
    <w:p>
      <w:pPr>
        <w:pStyle w:val="21"/>
        <w:widowControl/>
        <w:spacing w:line="360" w:lineRule="auto"/>
        <w:ind w:firstLine="57"/>
        <w:jc w:val="both"/>
        <w:rPr>
          <w:rFonts w:hint="eastAsia" w:ascii="宋体" w:eastAsia="宋体"/>
          <w:color w:val="auto"/>
          <w:lang w:val="en-US" w:eastAsia="zh-CN"/>
        </w:rPr>
      </w:pPr>
      <w:r>
        <w:rPr>
          <w:rFonts w:hint="eastAsia" w:ascii="宋体" w:hAnsi="宋体" w:cs="宋体"/>
          <w:color w:val="auto"/>
        </w:rPr>
        <w:t>截止时间：</w:t>
      </w:r>
      <w:r>
        <w:rPr>
          <w:rFonts w:ascii="宋体" w:hAnsi="宋体" w:cs="宋体"/>
          <w:color w:val="auto"/>
          <w:kern w:val="0"/>
          <w:sz w:val="24"/>
          <w:szCs w:val="24"/>
          <w:u w:val="single"/>
        </w:rPr>
        <w:t>202</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年</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月</w:t>
      </w:r>
      <w:r>
        <w:rPr>
          <w:rFonts w:hint="eastAsia" w:ascii="宋体" w:hAnsi="宋体" w:cs="宋体"/>
          <w:color w:val="auto"/>
          <w:kern w:val="0"/>
          <w:sz w:val="24"/>
          <w:szCs w:val="24"/>
          <w:u w:val="single"/>
          <w:lang w:val="en-US" w:eastAsia="zh-CN"/>
        </w:rPr>
        <w:t>29</w:t>
      </w:r>
      <w:r>
        <w:rPr>
          <w:rFonts w:hint="eastAsia" w:ascii="宋体" w:hAnsi="宋体" w:cs="宋体"/>
          <w:color w:val="auto"/>
          <w:kern w:val="0"/>
          <w:sz w:val="24"/>
          <w:szCs w:val="24"/>
          <w:u w:val="single"/>
        </w:rPr>
        <w:t>日</w:t>
      </w:r>
      <w:r>
        <w:rPr>
          <w:rFonts w:hint="eastAsia" w:ascii="宋体" w:hAnsi="宋体" w:cs="宋体"/>
          <w:color w:val="auto"/>
          <w:kern w:val="0"/>
          <w:sz w:val="24"/>
          <w:szCs w:val="24"/>
          <w:u w:val="single"/>
          <w:lang w:val="en-US" w:eastAsia="zh-CN"/>
        </w:rPr>
        <w:t>10</w:t>
      </w:r>
      <w:r>
        <w:rPr>
          <w:rFonts w:hint="eastAsia" w:ascii="宋体" w:hAnsi="宋体" w:cs="宋体"/>
          <w:color w:val="auto"/>
          <w:kern w:val="0"/>
          <w:sz w:val="24"/>
          <w:szCs w:val="24"/>
          <w:u w:val="single"/>
        </w:rPr>
        <w:t>点</w:t>
      </w:r>
      <w:r>
        <w:rPr>
          <w:rFonts w:ascii="宋体" w:cs="宋体"/>
          <w:color w:val="auto"/>
          <w:kern w:val="0"/>
          <w:sz w:val="24"/>
          <w:szCs w:val="24"/>
          <w:u w:val="single"/>
        </w:rPr>
        <w:t>00</w:t>
      </w:r>
      <w:r>
        <w:rPr>
          <w:rFonts w:hint="eastAsia" w:ascii="宋体" w:hAnsi="宋体" w:cs="宋体"/>
          <w:color w:val="auto"/>
          <w:kern w:val="0"/>
          <w:sz w:val="24"/>
          <w:szCs w:val="24"/>
          <w:u w:val="single"/>
        </w:rPr>
        <w:t>分</w:t>
      </w:r>
      <w:r>
        <w:rPr>
          <w:rFonts w:hint="eastAsia" w:ascii="宋体" w:hAnsi="宋体" w:cs="宋体"/>
          <w:color w:val="auto"/>
        </w:rPr>
        <w:t>（北京时间）</w:t>
      </w:r>
    </w:p>
    <w:p>
      <w:pPr>
        <w:pStyle w:val="21"/>
        <w:widowControl/>
        <w:spacing w:line="360" w:lineRule="auto"/>
        <w:ind w:firstLine="57"/>
        <w:jc w:val="both"/>
        <w:rPr>
          <w:rFonts w:ascii="Calibri" w:hAnsi="Calibri" w:cs="Calibri"/>
          <w:color w:val="auto"/>
          <w:sz w:val="21"/>
          <w:szCs w:val="21"/>
        </w:rPr>
      </w:pPr>
      <w:r>
        <w:rPr>
          <w:rFonts w:hint="eastAsia" w:ascii="宋体" w:hAnsi="宋体" w:cs="宋体"/>
          <w:color w:val="auto"/>
        </w:rPr>
        <w:t>提交方式：提交盖章版的扫描件电子版，发送至</w:t>
      </w:r>
      <w:r>
        <w:rPr>
          <w:rFonts w:hint="eastAsia" w:ascii="宋体" w:hAnsi="宋体" w:cs="宋体"/>
          <w:color w:val="auto"/>
          <w:lang w:eastAsia="zh-CN"/>
        </w:rPr>
        <w:t>采购人</w:t>
      </w:r>
      <w:r>
        <w:rPr>
          <w:rFonts w:hint="eastAsia" w:ascii="宋体" w:hAnsi="宋体" w:cs="宋体"/>
          <w:color w:val="auto"/>
        </w:rPr>
        <w:t>指定邮箱：</w:t>
      </w:r>
      <w:r>
        <w:rPr>
          <w:rFonts w:hint="eastAsia" w:ascii="宋体" w:hAnsi="宋体" w:cs="宋体"/>
          <w:color w:val="auto"/>
          <w:lang w:val="en-US" w:eastAsia="zh-CN"/>
        </w:rPr>
        <w:t>460862282</w:t>
      </w:r>
      <w:r>
        <w:rPr>
          <w:rFonts w:ascii="宋体" w:hAnsi="宋体" w:cs="宋体"/>
          <w:color w:val="auto"/>
        </w:rPr>
        <w:t>@qq.com</w:t>
      </w:r>
    </w:p>
    <w:p>
      <w:pPr>
        <w:pStyle w:val="21"/>
        <w:widowControl/>
        <w:shd w:val="clear" w:color="auto" w:fill="FFFFFF"/>
        <w:spacing w:line="360" w:lineRule="auto"/>
        <w:ind w:left="720" w:hanging="843"/>
        <w:rPr>
          <w:rFonts w:ascii="Calibri" w:hAnsi="Calibri" w:cs="Calibri"/>
          <w:color w:val="auto"/>
        </w:rPr>
      </w:pPr>
      <w:r>
        <w:rPr>
          <w:rFonts w:hint="eastAsia" w:ascii="宋体" w:hAnsi="宋体" w:cs="宋体"/>
          <w:b/>
          <w:bCs/>
          <w:color w:val="auto"/>
          <w:sz w:val="28"/>
          <w:szCs w:val="28"/>
          <w:shd w:val="clear" w:color="auto" w:fill="FFFFFF"/>
        </w:rPr>
        <w:t>五、开启</w:t>
      </w:r>
    </w:p>
    <w:p>
      <w:pPr>
        <w:pStyle w:val="21"/>
        <w:widowControl/>
        <w:spacing w:line="360" w:lineRule="auto"/>
        <w:ind w:firstLine="57"/>
        <w:jc w:val="both"/>
        <w:rPr>
          <w:rFonts w:ascii="Calibri" w:hAnsi="Calibri" w:cs="Calibri"/>
          <w:color w:val="auto"/>
          <w:sz w:val="21"/>
          <w:szCs w:val="21"/>
        </w:rPr>
      </w:pPr>
      <w:r>
        <w:rPr>
          <w:rFonts w:hint="eastAsia" w:ascii="宋体" w:hAnsi="宋体" w:cs="宋体"/>
          <w:color w:val="auto"/>
        </w:rPr>
        <w:t>时间：</w:t>
      </w:r>
      <w:r>
        <w:rPr>
          <w:rFonts w:hint="eastAsia" w:ascii="宋体" w:hAnsi="宋体" w:cs="宋体"/>
          <w:color w:val="auto"/>
          <w:lang w:val="en-US" w:eastAsia="zh-CN"/>
        </w:rPr>
        <w:t>采购</w:t>
      </w:r>
      <w:r>
        <w:rPr>
          <w:rFonts w:hint="eastAsia" w:ascii="宋体" w:hAnsi="宋体" w:cs="宋体"/>
          <w:color w:val="auto"/>
        </w:rPr>
        <w:t>人自行拟定。</w:t>
      </w:r>
    </w:p>
    <w:p>
      <w:pPr>
        <w:pStyle w:val="21"/>
        <w:widowControl/>
        <w:shd w:val="clear" w:color="auto" w:fill="FFFFFF"/>
        <w:spacing w:line="360" w:lineRule="auto"/>
        <w:ind w:left="720" w:hanging="843"/>
        <w:rPr>
          <w:rFonts w:ascii="Calibri" w:hAnsi="Calibri" w:cs="Calibri"/>
          <w:color w:val="auto"/>
        </w:rPr>
      </w:pPr>
      <w:r>
        <w:rPr>
          <w:rFonts w:hint="eastAsia" w:ascii="宋体" w:hAnsi="宋体" w:cs="宋体"/>
          <w:b/>
          <w:bCs/>
          <w:color w:val="auto"/>
          <w:sz w:val="28"/>
          <w:szCs w:val="28"/>
          <w:shd w:val="clear" w:color="auto" w:fill="FFFFFF"/>
        </w:rPr>
        <w:t>六、公告期限</w:t>
      </w:r>
    </w:p>
    <w:p>
      <w:pPr>
        <w:pStyle w:val="21"/>
        <w:widowControl/>
        <w:shd w:val="clear" w:color="auto" w:fill="FFFFFF"/>
        <w:spacing w:line="360" w:lineRule="auto"/>
        <w:ind w:left="720" w:hanging="720"/>
        <w:rPr>
          <w:rFonts w:ascii="Calibri" w:hAnsi="Calibri" w:cs="Calibri"/>
          <w:color w:val="auto"/>
        </w:rPr>
      </w:pPr>
      <w:r>
        <w:rPr>
          <w:rFonts w:hint="eastAsia" w:ascii="宋体" w:hAnsi="宋体" w:cs="宋体"/>
          <w:color w:val="auto"/>
          <w:shd w:val="clear" w:color="auto" w:fill="FFFFFF"/>
        </w:rPr>
        <w:t>自本公告发布之日起</w:t>
      </w:r>
      <w:r>
        <w:rPr>
          <w:rFonts w:ascii="宋体" w:hAnsi="宋体" w:cs="宋体"/>
          <w:color w:val="auto"/>
          <w:shd w:val="clear" w:color="auto" w:fill="FFFFFF"/>
        </w:rPr>
        <w:t>3</w:t>
      </w:r>
      <w:r>
        <w:rPr>
          <w:rFonts w:hint="eastAsia" w:ascii="宋体" w:hAnsi="宋体" w:cs="宋体"/>
          <w:color w:val="auto"/>
          <w:shd w:val="clear" w:color="auto" w:fill="FFFFFF"/>
        </w:rPr>
        <w:t>个工作日。</w:t>
      </w:r>
    </w:p>
    <w:p>
      <w:pPr>
        <w:pStyle w:val="21"/>
        <w:widowControl/>
        <w:shd w:val="clear" w:color="auto" w:fill="FFFFFF"/>
        <w:spacing w:line="360" w:lineRule="auto"/>
        <w:ind w:left="720" w:hanging="843"/>
        <w:rPr>
          <w:rFonts w:ascii="Calibri" w:hAnsi="Calibri" w:cs="Calibri"/>
          <w:color w:val="auto"/>
        </w:rPr>
      </w:pPr>
      <w:r>
        <w:rPr>
          <w:rFonts w:hint="eastAsia" w:ascii="宋体" w:hAnsi="宋体" w:cs="宋体"/>
          <w:b/>
          <w:bCs/>
          <w:color w:val="auto"/>
          <w:sz w:val="28"/>
          <w:szCs w:val="28"/>
          <w:shd w:val="clear" w:color="auto" w:fill="FFFFFF"/>
        </w:rPr>
        <w:t>七、其他补充事宜</w:t>
      </w:r>
    </w:p>
    <w:p>
      <w:pPr>
        <w:pStyle w:val="21"/>
        <w:widowControl/>
        <w:spacing w:line="360" w:lineRule="auto"/>
        <w:ind w:firstLine="57"/>
        <w:jc w:val="both"/>
        <w:rPr>
          <w:rFonts w:hint="eastAsia" w:ascii="宋体" w:hAnsi="宋体" w:cs="宋体"/>
          <w:color w:val="auto"/>
        </w:rPr>
      </w:pPr>
      <w:r>
        <w:rPr>
          <w:rFonts w:ascii="宋体" w:hAnsi="宋体" w:cs="宋体"/>
          <w:color w:val="auto"/>
        </w:rPr>
        <w:t>7.1</w:t>
      </w:r>
      <w:r>
        <w:rPr>
          <w:rFonts w:hint="eastAsia" w:ascii="宋体" w:hAnsi="宋体" w:cs="宋体"/>
          <w:color w:val="auto"/>
          <w:lang w:val="en-US" w:eastAsia="zh-CN"/>
        </w:rPr>
        <w:t>采购</w:t>
      </w:r>
      <w:r>
        <w:rPr>
          <w:rFonts w:hint="eastAsia" w:ascii="宋体" w:hAnsi="宋体" w:cs="宋体"/>
          <w:color w:val="auto"/>
        </w:rPr>
        <w:t>人将在报名截止后向符合资格要求的供应商发送本项目的竞争性谈判文件，（注：</w:t>
      </w:r>
      <w:r>
        <w:rPr>
          <w:rFonts w:hint="eastAsia" w:ascii="宋体" w:hAnsi="宋体" w:cs="宋体"/>
          <w:color w:val="auto"/>
          <w:lang w:eastAsia="zh-CN"/>
        </w:rPr>
        <w:t>谈判</w:t>
      </w:r>
      <w:r>
        <w:rPr>
          <w:rFonts w:hint="eastAsia" w:ascii="宋体" w:hAnsi="宋体" w:cs="宋体"/>
          <w:color w:val="auto"/>
        </w:rPr>
        <w:t>供应商应对资料的真实性、合规性负责，</w:t>
      </w:r>
      <w:r>
        <w:rPr>
          <w:rFonts w:hint="eastAsia" w:ascii="宋体" w:hAnsi="宋体" w:cs="宋体"/>
          <w:color w:val="auto"/>
          <w:lang w:val="en-US" w:eastAsia="zh-CN"/>
        </w:rPr>
        <w:t>采购人</w:t>
      </w:r>
      <w:r>
        <w:rPr>
          <w:rFonts w:hint="eastAsia" w:ascii="宋体" w:hAnsi="宋体" w:cs="宋体"/>
          <w:color w:val="auto"/>
        </w:rPr>
        <w:t>报名负责人对报名资料的核验并不作为供应商资格条件的最终认定，开标后将由评审委员会对供应商的资格等进行评审。）</w:t>
      </w:r>
    </w:p>
    <w:p>
      <w:pPr>
        <w:pStyle w:val="21"/>
        <w:widowControl/>
        <w:spacing w:line="360" w:lineRule="auto"/>
        <w:ind w:firstLine="57"/>
        <w:jc w:val="both"/>
        <w:rPr>
          <w:rFonts w:hint="eastAsia" w:ascii="宋体" w:hAnsi="宋体" w:eastAsia="宋体" w:cs="宋体"/>
          <w:color w:val="auto"/>
          <w:lang w:val="en-US" w:eastAsia="zh-CN"/>
        </w:rPr>
      </w:pPr>
      <w:r>
        <w:rPr>
          <w:rFonts w:hint="eastAsia" w:ascii="宋体" w:hAnsi="宋体" w:cs="宋体"/>
          <w:color w:val="auto"/>
          <w:lang w:val="en-US" w:eastAsia="zh-CN"/>
        </w:rPr>
        <w:t>7.2</w:t>
      </w:r>
      <w:r>
        <w:rPr>
          <w:rFonts w:hint="eastAsia" w:ascii="宋体" w:hAnsi="宋体" w:cs="宋体"/>
          <w:color w:val="auto"/>
        </w:rPr>
        <w:t>入围供应商需通过公司的准入审核</w:t>
      </w:r>
      <w:r>
        <w:rPr>
          <w:rFonts w:hint="eastAsia" w:ascii="宋体" w:hAnsi="宋体" w:cs="宋体"/>
          <w:color w:val="auto"/>
          <w:lang w:eastAsia="zh-CN"/>
        </w:rPr>
        <w:t>。</w:t>
      </w:r>
    </w:p>
    <w:p>
      <w:pPr>
        <w:pStyle w:val="21"/>
        <w:widowControl/>
        <w:spacing w:line="360" w:lineRule="auto"/>
        <w:ind w:firstLine="57"/>
        <w:jc w:val="both"/>
        <w:rPr>
          <w:rFonts w:ascii="Calibri" w:hAnsi="Calibri" w:cs="Calibri"/>
          <w:color w:val="auto"/>
          <w:sz w:val="21"/>
          <w:szCs w:val="21"/>
        </w:rPr>
      </w:pPr>
      <w:r>
        <w:rPr>
          <w:rFonts w:ascii="宋体" w:hAnsi="宋体" w:cs="宋体"/>
          <w:color w:val="auto"/>
        </w:rPr>
        <w:t>7.</w:t>
      </w:r>
      <w:r>
        <w:rPr>
          <w:rFonts w:hint="eastAsia" w:ascii="宋体" w:hAnsi="宋体" w:cs="宋体"/>
          <w:color w:val="auto"/>
          <w:lang w:val="en-US" w:eastAsia="zh-CN"/>
        </w:rPr>
        <w:t>3</w:t>
      </w:r>
      <w:r>
        <w:rPr>
          <w:rFonts w:hint="eastAsia" w:ascii="宋体" w:hAnsi="宋体" w:cs="宋体"/>
          <w:color w:val="auto"/>
        </w:rPr>
        <w:t>信息发布</w:t>
      </w:r>
      <w:r>
        <w:rPr>
          <w:rFonts w:hint="eastAsia" w:ascii="宋体" w:hAnsi="宋体" w:cs="宋体"/>
          <w:color w:val="auto"/>
          <w:lang w:eastAsia="zh-CN"/>
        </w:rPr>
        <w:t>：</w:t>
      </w:r>
      <w:r>
        <w:rPr>
          <w:rFonts w:hint="eastAsia" w:ascii="宋体" w:hAnsi="宋体" w:cs="宋体"/>
          <w:color w:val="auto"/>
        </w:rPr>
        <w:t>中钢集团武汉安全环保研究院有限公司（网址：</w:t>
      </w:r>
      <w:r>
        <w:rPr>
          <w:color w:val="auto"/>
        </w:rPr>
        <w:fldChar w:fldCharType="begin"/>
      </w:r>
      <w:r>
        <w:rPr>
          <w:color w:val="auto"/>
        </w:rPr>
        <w:instrText xml:space="preserve"> HYPERLINK "http://www.zgsepri" </w:instrText>
      </w:r>
      <w:r>
        <w:rPr>
          <w:color w:val="auto"/>
        </w:rPr>
        <w:fldChar w:fldCharType="separate"/>
      </w:r>
      <w:r>
        <w:rPr>
          <w:rStyle w:val="35"/>
          <w:rFonts w:ascii="宋体" w:hAnsi="宋体" w:cs="宋体"/>
          <w:color w:val="auto"/>
          <w:sz w:val="24"/>
          <w:szCs w:val="24"/>
        </w:rPr>
        <w:t>www.zgsepri</w:t>
      </w:r>
      <w:r>
        <w:rPr>
          <w:rStyle w:val="35"/>
          <w:rFonts w:ascii="宋体" w:hAnsi="宋体" w:cs="宋体"/>
          <w:color w:val="auto"/>
          <w:sz w:val="24"/>
          <w:szCs w:val="24"/>
        </w:rPr>
        <w:fldChar w:fldCharType="end"/>
      </w:r>
      <w:r>
        <w:rPr>
          <w:rFonts w:ascii="宋体" w:cs="宋体"/>
          <w:color w:val="auto"/>
        </w:rPr>
        <w:t>.</w:t>
      </w:r>
      <w:r>
        <w:rPr>
          <w:rFonts w:ascii="宋体" w:hAnsi="宋体" w:cs="宋体"/>
          <w:color w:val="auto"/>
        </w:rPr>
        <w:t>com</w:t>
      </w:r>
      <w:r>
        <w:rPr>
          <w:rFonts w:hint="eastAsia" w:ascii="宋体" w:hAnsi="宋体" w:cs="宋体"/>
          <w:color w:val="auto"/>
        </w:rPr>
        <w:t>）</w:t>
      </w:r>
    </w:p>
    <w:p>
      <w:pPr>
        <w:pStyle w:val="21"/>
        <w:widowControl/>
        <w:shd w:val="clear" w:color="auto" w:fill="FFFFFF"/>
        <w:spacing w:line="360" w:lineRule="auto"/>
        <w:rPr>
          <w:rFonts w:ascii="Calibri" w:hAnsi="Calibri" w:cs="Calibri"/>
          <w:color w:val="auto"/>
        </w:rPr>
      </w:pPr>
      <w:r>
        <w:rPr>
          <w:rFonts w:hint="eastAsia" w:ascii="宋体" w:hAnsi="宋体" w:cs="宋体"/>
          <w:b/>
          <w:bCs/>
          <w:color w:val="auto"/>
          <w:sz w:val="28"/>
          <w:szCs w:val="28"/>
          <w:shd w:val="clear" w:color="auto" w:fill="FFFFFF"/>
        </w:rPr>
        <w:t>八、凡对本次采购提出询问，请按以下方式联系。</w:t>
      </w:r>
    </w:p>
    <w:p>
      <w:pPr>
        <w:pStyle w:val="21"/>
        <w:widowControl/>
        <w:spacing w:line="360" w:lineRule="auto"/>
        <w:ind w:firstLine="57"/>
        <w:jc w:val="both"/>
        <w:rPr>
          <w:rFonts w:ascii="Calibri" w:hAnsi="Calibri" w:cs="Calibri"/>
          <w:color w:val="auto"/>
          <w:sz w:val="21"/>
          <w:szCs w:val="21"/>
        </w:rPr>
      </w:pPr>
      <w:r>
        <w:rPr>
          <w:rFonts w:ascii="宋体" w:hAnsi="宋体" w:cs="宋体"/>
          <w:color w:val="auto"/>
        </w:rPr>
        <w:t>1.</w:t>
      </w:r>
      <w:r>
        <w:rPr>
          <w:rFonts w:hint="eastAsia" w:ascii="宋体" w:hAnsi="宋体" w:cs="宋体"/>
          <w:color w:val="auto"/>
        </w:rPr>
        <w:t>采购人信息</w:t>
      </w:r>
    </w:p>
    <w:p>
      <w:pPr>
        <w:pStyle w:val="21"/>
        <w:widowControl/>
        <w:spacing w:line="360" w:lineRule="auto"/>
        <w:ind w:firstLine="57"/>
        <w:jc w:val="both"/>
        <w:rPr>
          <w:rFonts w:ascii="Calibri" w:hAnsi="Calibri" w:cs="Calibri"/>
          <w:color w:val="auto"/>
          <w:sz w:val="21"/>
          <w:szCs w:val="21"/>
        </w:rPr>
      </w:pPr>
      <w:r>
        <w:rPr>
          <w:rFonts w:hint="eastAsia" w:ascii="宋体" w:hAnsi="宋体" w:cs="宋体"/>
          <w:color w:val="auto"/>
        </w:rPr>
        <w:t>名</w:t>
      </w:r>
      <w:r>
        <w:rPr>
          <w:rFonts w:hint="eastAsia" w:ascii="宋体" w:hAnsi="宋体" w:cs="宋体"/>
          <w:color w:val="auto"/>
          <w:lang w:val="en-US" w:eastAsia="zh-CN"/>
        </w:rPr>
        <w:t xml:space="preserve">  </w:t>
      </w:r>
      <w:r>
        <w:rPr>
          <w:rFonts w:hint="eastAsia" w:ascii="宋体" w:hAnsi="宋体" w:cs="宋体"/>
          <w:color w:val="auto"/>
        </w:rPr>
        <w:t>称：中钢集团武汉安全环保研究院有限公司</w:t>
      </w:r>
    </w:p>
    <w:p>
      <w:pPr>
        <w:pStyle w:val="21"/>
        <w:widowControl/>
        <w:spacing w:line="360" w:lineRule="auto"/>
        <w:ind w:firstLine="57"/>
        <w:jc w:val="both"/>
        <w:rPr>
          <w:rFonts w:ascii="Calibri" w:hAnsi="Calibri" w:cs="Calibri"/>
          <w:color w:val="auto"/>
          <w:sz w:val="21"/>
          <w:szCs w:val="21"/>
        </w:rPr>
      </w:pPr>
      <w:r>
        <w:rPr>
          <w:rFonts w:hint="eastAsia" w:ascii="宋体" w:hAnsi="宋体" w:cs="宋体"/>
          <w:color w:val="auto"/>
        </w:rPr>
        <w:t>地</w:t>
      </w:r>
      <w:r>
        <w:rPr>
          <w:rFonts w:hint="eastAsia" w:ascii="宋体"/>
          <w:color w:val="auto"/>
          <w:lang w:val="en-US" w:eastAsia="zh-CN"/>
        </w:rPr>
        <w:t xml:space="preserve">  </w:t>
      </w:r>
      <w:r>
        <w:rPr>
          <w:rFonts w:hint="eastAsia" w:ascii="宋体" w:hAnsi="宋体" w:cs="宋体"/>
          <w:color w:val="auto"/>
        </w:rPr>
        <w:t>址：武汉市青山区和平大道</w:t>
      </w:r>
      <w:r>
        <w:rPr>
          <w:rFonts w:ascii="宋体" w:hAnsi="宋体" w:cs="宋体"/>
          <w:color w:val="auto"/>
        </w:rPr>
        <w:t>1244</w:t>
      </w:r>
      <w:r>
        <w:rPr>
          <w:rFonts w:hint="eastAsia" w:ascii="宋体" w:hAnsi="宋体" w:cs="宋体"/>
          <w:color w:val="auto"/>
        </w:rPr>
        <w:t>号</w:t>
      </w:r>
    </w:p>
    <w:p>
      <w:pPr>
        <w:pStyle w:val="21"/>
        <w:widowControl/>
        <w:spacing w:line="360" w:lineRule="auto"/>
        <w:ind w:firstLine="57"/>
        <w:jc w:val="both"/>
        <w:rPr>
          <w:rFonts w:hint="default" w:ascii="宋体" w:eastAsia="宋体"/>
          <w:color w:val="auto"/>
          <w:lang w:val="en-US" w:eastAsia="zh-CN"/>
        </w:rPr>
      </w:pPr>
      <w:r>
        <w:rPr>
          <w:rFonts w:hint="eastAsia" w:ascii="宋体" w:hAnsi="宋体" w:cs="宋体"/>
          <w:color w:val="auto"/>
        </w:rPr>
        <w:t>项目联系人：</w:t>
      </w:r>
      <w:r>
        <w:rPr>
          <w:rFonts w:hint="eastAsia" w:ascii="宋体" w:hAnsi="宋体" w:cs="宋体"/>
          <w:color w:val="auto"/>
          <w:lang w:val="en-US" w:eastAsia="zh-CN"/>
        </w:rPr>
        <w:t>熊惠英</w:t>
      </w:r>
      <w:r>
        <w:rPr>
          <w:rFonts w:ascii="宋体" w:hAnsi="宋体" w:cs="宋体"/>
          <w:color w:val="auto"/>
        </w:rPr>
        <w:t xml:space="preserve">    </w:t>
      </w: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lang w:val="en-US" w:eastAsia="zh-CN"/>
        </w:rPr>
        <w:t>18086046557</w:t>
      </w:r>
    </w:p>
    <w:p>
      <w:pPr>
        <w:spacing w:line="360" w:lineRule="auto"/>
        <w:jc w:val="right"/>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202</w:t>
      </w:r>
      <w:r>
        <w:rPr>
          <w:rFonts w:hint="eastAsia" w:ascii="宋体" w:hAnsi="宋体"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年</w:t>
      </w:r>
      <w:r>
        <w:rPr>
          <w:rFonts w:hint="eastAsia" w:ascii="宋体" w:hAnsi="宋体"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月2</w:t>
      </w:r>
      <w:r>
        <w:rPr>
          <w:rFonts w:hint="eastAsia" w:ascii="宋体" w:hAnsi="宋体" w:cs="宋体"/>
          <w:color w:val="auto"/>
          <w:kern w:val="0"/>
          <w:sz w:val="24"/>
          <w:szCs w:val="24"/>
          <w:lang w:val="en-US" w:eastAsia="zh-CN" w:bidi="ar-SA"/>
        </w:rPr>
        <w:t>1</w:t>
      </w:r>
      <w:r>
        <w:rPr>
          <w:rFonts w:hint="eastAsia" w:ascii="宋体" w:hAnsi="宋体" w:eastAsia="宋体" w:cs="宋体"/>
          <w:color w:val="auto"/>
          <w:kern w:val="0"/>
          <w:sz w:val="24"/>
          <w:szCs w:val="24"/>
          <w:lang w:val="en-US" w:eastAsia="zh-CN" w:bidi="ar-SA"/>
        </w:rPr>
        <w:t>日</w:t>
      </w:r>
    </w:p>
    <w:p>
      <w:pPr>
        <w:pStyle w:val="21"/>
        <w:widowControl/>
        <w:spacing w:line="360" w:lineRule="auto"/>
        <w:ind w:firstLine="57"/>
        <w:jc w:val="right"/>
        <w:rPr>
          <w:rFonts w:hint="default" w:ascii="宋体"/>
          <w:color w:val="auto"/>
          <w:lang w:val="en-US"/>
        </w:rPr>
        <w:sectPr>
          <w:footerReference r:id="rId5" w:type="default"/>
          <w:pgSz w:w="11906" w:h="16838"/>
          <w:pgMar w:top="1440" w:right="1800" w:bottom="1440" w:left="1800" w:header="851" w:footer="992" w:gutter="0"/>
          <w:cols w:space="425" w:num="1"/>
          <w:docGrid w:type="lines" w:linePitch="312" w:charSpace="0"/>
        </w:sectPr>
      </w:pPr>
    </w:p>
    <w:p>
      <w:pPr>
        <w:widowControl/>
        <w:spacing w:line="360" w:lineRule="auto"/>
        <w:jc w:val="center"/>
        <w:outlineLvl w:val="0"/>
        <w:rPr>
          <w:rFonts w:ascii="宋体"/>
          <w:b/>
          <w:bCs/>
          <w:color w:val="auto"/>
          <w:spacing w:val="-20"/>
          <w:kern w:val="0"/>
          <w:sz w:val="36"/>
          <w:szCs w:val="36"/>
        </w:rPr>
      </w:pPr>
      <w:r>
        <w:rPr>
          <w:rFonts w:hint="eastAsia" w:ascii="宋体" w:hAnsi="宋体" w:cs="宋体"/>
          <w:b/>
          <w:bCs/>
          <w:color w:val="auto"/>
          <w:spacing w:val="-20"/>
          <w:kern w:val="0"/>
          <w:sz w:val="36"/>
          <w:szCs w:val="36"/>
        </w:rPr>
        <w:t>第二章</w:t>
      </w:r>
      <w:r>
        <w:rPr>
          <w:rFonts w:ascii="宋体" w:hAnsi="宋体" w:cs="宋体"/>
          <w:b/>
          <w:bCs/>
          <w:color w:val="auto"/>
          <w:spacing w:val="-20"/>
          <w:kern w:val="0"/>
          <w:sz w:val="36"/>
          <w:szCs w:val="36"/>
        </w:rPr>
        <w:t xml:space="preserve">  </w:t>
      </w:r>
      <w:r>
        <w:rPr>
          <w:rFonts w:hint="eastAsia" w:ascii="宋体" w:hAnsi="宋体" w:cs="宋体"/>
          <w:b/>
          <w:bCs/>
          <w:color w:val="auto"/>
          <w:spacing w:val="-20"/>
          <w:kern w:val="0"/>
          <w:sz w:val="36"/>
          <w:szCs w:val="36"/>
        </w:rPr>
        <w:t>供应商须知</w:t>
      </w:r>
      <w:bookmarkEnd w:id="4"/>
      <w:bookmarkEnd w:id="5"/>
      <w:bookmarkEnd w:id="6"/>
    </w:p>
    <w:p>
      <w:pPr>
        <w:spacing w:line="360" w:lineRule="auto"/>
        <w:rPr>
          <w:rFonts w:ascii="宋体"/>
          <w:color w:val="auto"/>
          <w:sz w:val="24"/>
          <w:szCs w:val="24"/>
        </w:rPr>
      </w:pPr>
      <w:r>
        <w:rPr>
          <w:rFonts w:hint="eastAsia" w:ascii="宋体" w:hAnsi="宋体" w:cs="宋体"/>
          <w:color w:val="auto"/>
          <w:sz w:val="24"/>
          <w:szCs w:val="24"/>
        </w:rPr>
        <w:t>供应商须知前附表</w:t>
      </w:r>
    </w:p>
    <w:tbl>
      <w:tblPr>
        <w:tblStyle w:val="24"/>
        <w:tblW w:w="98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46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hint="eastAsia" w:ascii="宋体" w:hAnsi="宋体" w:cs="宋体"/>
                <w:color w:val="auto"/>
                <w:sz w:val="24"/>
                <w:szCs w:val="24"/>
              </w:rPr>
              <w:t>项号</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类</w:t>
            </w:r>
            <w:r>
              <w:rPr>
                <w:rFonts w:ascii="宋体" w:hAnsi="宋体" w:cs="宋体"/>
                <w:color w:val="auto"/>
                <w:sz w:val="24"/>
                <w:szCs w:val="24"/>
              </w:rPr>
              <w:t xml:space="preserve">     </w:t>
            </w:r>
            <w:r>
              <w:rPr>
                <w:rFonts w:hint="eastAsia" w:ascii="宋体" w:hAnsi="宋体" w:cs="宋体"/>
                <w:color w:val="auto"/>
                <w:sz w:val="24"/>
                <w:szCs w:val="24"/>
              </w:rPr>
              <w:t>别</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内</w:t>
            </w:r>
            <w:r>
              <w:rPr>
                <w:rFonts w:ascii="宋体" w:hAnsi="宋体" w:cs="宋体"/>
                <w:color w:val="auto"/>
                <w:sz w:val="24"/>
                <w:szCs w:val="24"/>
              </w:rPr>
              <w:t xml:space="preserve">          </w:t>
            </w:r>
            <w:r>
              <w:rPr>
                <w:rFonts w:hint="eastAsia" w:ascii="宋体" w:hAnsi="宋体" w:cs="宋体"/>
                <w:color w:val="auto"/>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1</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项</w:t>
            </w:r>
            <w:r>
              <w:rPr>
                <w:rFonts w:ascii="宋体" w:hAnsi="宋体" w:cs="宋体"/>
                <w:color w:val="auto"/>
                <w:sz w:val="24"/>
                <w:szCs w:val="24"/>
              </w:rPr>
              <w:t xml:space="preserve"> </w:t>
            </w:r>
            <w:r>
              <w:rPr>
                <w:rFonts w:hint="eastAsia" w:ascii="宋体" w:hAnsi="宋体" w:cs="宋体"/>
                <w:color w:val="auto"/>
                <w:sz w:val="24"/>
                <w:szCs w:val="24"/>
              </w:rPr>
              <w:t>目</w:t>
            </w:r>
            <w:r>
              <w:rPr>
                <w:rFonts w:ascii="宋体" w:hAnsi="宋体" w:cs="宋体"/>
                <w:color w:val="auto"/>
                <w:sz w:val="24"/>
                <w:szCs w:val="24"/>
              </w:rPr>
              <w:t xml:space="preserve"> </w:t>
            </w:r>
            <w:r>
              <w:rPr>
                <w:rFonts w:hint="eastAsia" w:ascii="宋体" w:hAnsi="宋体" w:cs="宋体"/>
                <w:color w:val="auto"/>
                <w:sz w:val="24"/>
                <w:szCs w:val="24"/>
              </w:rPr>
              <w:t>名</w:t>
            </w:r>
            <w:r>
              <w:rPr>
                <w:rFonts w:ascii="宋体" w:hAnsi="宋体" w:cs="宋体"/>
                <w:color w:val="auto"/>
                <w:sz w:val="24"/>
                <w:szCs w:val="24"/>
              </w:rPr>
              <w:t xml:space="preserve"> </w:t>
            </w:r>
            <w:r>
              <w:rPr>
                <w:rFonts w:hint="eastAsia" w:ascii="宋体" w:hAnsi="宋体" w:cs="宋体"/>
                <w:color w:val="auto"/>
                <w:sz w:val="24"/>
                <w:szCs w:val="24"/>
              </w:rPr>
              <w:t>称</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eastAsia="宋体"/>
                <w:color w:val="auto"/>
                <w:kern w:val="0"/>
                <w:sz w:val="24"/>
                <w:szCs w:val="24"/>
                <w:lang w:eastAsia="zh-CN"/>
              </w:rPr>
            </w:pPr>
            <w:r>
              <w:rPr>
                <w:rFonts w:hint="eastAsia" w:ascii="宋体" w:hAnsi="宋体" w:cs="宋体"/>
                <w:color w:val="auto"/>
                <w:kern w:val="0"/>
                <w:sz w:val="24"/>
                <w:szCs w:val="24"/>
                <w:u w:val="single"/>
                <w:lang w:val="en-US" w:eastAsia="zh-CN"/>
              </w:rPr>
              <w:t>武汉钢铁有限公司五烧结节能减碳改造项目-申报2023年中央预算内投资计划</w:t>
            </w:r>
            <w:r>
              <w:rPr>
                <w:rFonts w:hint="default" w:ascii="宋体" w:hAnsi="宋体" w:cs="宋体"/>
                <w:color w:val="auto"/>
                <w:kern w:val="0"/>
                <w:sz w:val="24"/>
                <w:szCs w:val="24"/>
                <w:u w:val="single"/>
                <w:lang w:val="en-US" w:eastAsia="zh-CN"/>
              </w:rPr>
              <w:t>节能减碳</w:t>
            </w:r>
            <w:r>
              <w:rPr>
                <w:rFonts w:hint="eastAsia" w:ascii="宋体" w:hAnsi="宋体" w:cs="宋体"/>
                <w:color w:val="auto"/>
                <w:kern w:val="0"/>
                <w:sz w:val="24"/>
                <w:szCs w:val="24"/>
                <w:u w:val="single"/>
                <w:lang w:val="en-US" w:eastAsia="zh-CN"/>
              </w:rPr>
              <w:t>专项咨询服务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2</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采</w:t>
            </w:r>
            <w:r>
              <w:rPr>
                <w:rFonts w:ascii="宋体" w:hAnsi="宋体" w:cs="宋体"/>
                <w:color w:val="auto"/>
                <w:sz w:val="24"/>
                <w:szCs w:val="24"/>
              </w:rPr>
              <w:t xml:space="preserve"> </w:t>
            </w:r>
            <w:r>
              <w:rPr>
                <w:rFonts w:hint="eastAsia" w:ascii="宋体" w:hAnsi="宋体" w:cs="宋体"/>
                <w:color w:val="auto"/>
                <w:sz w:val="24"/>
                <w:szCs w:val="24"/>
              </w:rPr>
              <w:t>购</w:t>
            </w:r>
            <w:r>
              <w:rPr>
                <w:rFonts w:ascii="宋体" w:hAnsi="宋体" w:cs="宋体"/>
                <w:color w:val="auto"/>
                <w:sz w:val="24"/>
                <w:szCs w:val="24"/>
              </w:rPr>
              <w:t xml:space="preserve"> </w:t>
            </w:r>
            <w:r>
              <w:rPr>
                <w:rFonts w:hint="eastAsia" w:ascii="宋体" w:hAnsi="宋体" w:cs="宋体"/>
                <w:color w:val="auto"/>
                <w:sz w:val="24"/>
                <w:szCs w:val="24"/>
              </w:rPr>
              <w:t>人</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kern w:val="0"/>
                <w:sz w:val="24"/>
                <w:szCs w:val="24"/>
              </w:rPr>
              <w:t>中钢集团武汉安全环保研究院有限公司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3</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采购内容</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eastAsia="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1、武汉钢铁有限公司五烧结节能减碳改造项目-申报2023年中央预算内投资计划</w:t>
            </w:r>
            <w:r>
              <w:rPr>
                <w:rFonts w:hint="default" w:ascii="宋体" w:hAnsi="宋体" w:cs="宋体"/>
                <w:color w:val="auto"/>
                <w:kern w:val="0"/>
                <w:sz w:val="24"/>
                <w:szCs w:val="24"/>
                <w:u w:val="single"/>
                <w:lang w:val="en-US" w:eastAsia="zh-CN"/>
              </w:rPr>
              <w:t>节能减碳</w:t>
            </w:r>
            <w:r>
              <w:rPr>
                <w:rFonts w:hint="eastAsia" w:ascii="宋体" w:hAnsi="宋体" w:cs="宋体"/>
                <w:color w:val="auto"/>
                <w:kern w:val="0"/>
                <w:sz w:val="24"/>
                <w:szCs w:val="24"/>
                <w:u w:val="single"/>
                <w:lang w:val="en-US" w:eastAsia="zh-CN"/>
              </w:rPr>
              <w:t>专项咨询服务</w:t>
            </w:r>
            <w:r>
              <w:rPr>
                <w:rFonts w:hint="eastAsia" w:ascii="宋体" w:hAnsi="宋体" w:eastAsia="宋体" w:cs="宋体"/>
                <w:color w:val="auto"/>
                <w:kern w:val="0"/>
                <w:sz w:val="24"/>
                <w:szCs w:val="24"/>
                <w:u w:val="single"/>
                <w:lang w:val="en-US" w:eastAsia="zh-CN"/>
              </w:rPr>
              <w:t>；</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eastAsia="宋体" w:cs="宋体"/>
                <w:color w:val="auto"/>
                <w:kern w:val="0"/>
                <w:sz w:val="24"/>
                <w:szCs w:val="24"/>
                <w:u w:val="single"/>
                <w:lang w:val="en-US" w:eastAsia="zh-CN"/>
              </w:rPr>
            </w:pPr>
            <w:r>
              <w:rPr>
                <w:rFonts w:hint="eastAsia" w:ascii="宋体" w:hAnsi="宋体" w:eastAsia="宋体" w:cs="宋体"/>
                <w:color w:val="auto"/>
                <w:kern w:val="0"/>
                <w:sz w:val="24"/>
                <w:szCs w:val="24"/>
                <w:u w:val="single"/>
                <w:lang w:val="en-US" w:eastAsia="zh-CN"/>
              </w:rPr>
              <w:t>2、梳理五烧结工艺流程，进行全方位调查研究，结合政策申报要求，撰写申报书或资金申请报告；</w:t>
            </w:r>
          </w:p>
          <w:p>
            <w:pPr>
              <w:keepNext w:val="0"/>
              <w:keepLines w:val="0"/>
              <w:pageBreakBefore w:val="0"/>
              <w:numPr>
                <w:ilvl w:val="0"/>
                <w:numId w:val="0"/>
              </w:numPr>
              <w:kinsoku/>
              <w:wordWrap/>
              <w:overflowPunct/>
              <w:topLinePunct w:val="0"/>
              <w:autoSpaceDE/>
              <w:autoSpaceDN/>
              <w:bidi w:val="0"/>
              <w:adjustRightInd/>
              <w:snapToGrid/>
              <w:spacing w:line="340" w:lineRule="exact"/>
              <w:jc w:val="both"/>
              <w:textAlignment w:val="auto"/>
              <w:rPr>
                <w:rFonts w:ascii="宋体"/>
                <w:color w:val="auto"/>
                <w:kern w:val="0"/>
                <w:sz w:val="24"/>
                <w:szCs w:val="24"/>
              </w:rPr>
            </w:pPr>
            <w:r>
              <w:rPr>
                <w:rFonts w:hint="eastAsia" w:ascii="宋体" w:hAnsi="宋体" w:eastAsia="宋体" w:cs="宋体"/>
                <w:color w:val="auto"/>
                <w:kern w:val="0"/>
                <w:sz w:val="24"/>
                <w:szCs w:val="24"/>
                <w:u w:val="single"/>
                <w:lang w:val="en-US" w:eastAsia="zh-CN"/>
              </w:rPr>
              <w:t>3、组织专项申报工作，并通过政府相关部门公示。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4</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采购预算</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default" w:ascii="宋体" w:eastAsia="宋体"/>
                <w:color w:val="auto"/>
                <w:kern w:val="0"/>
                <w:sz w:val="24"/>
                <w:szCs w:val="24"/>
                <w:lang w:val="en-US" w:eastAsia="zh-CN"/>
              </w:rPr>
            </w:pPr>
            <w:r>
              <w:rPr>
                <w:rFonts w:hint="eastAsia" w:ascii="宋体"/>
                <w:color w:val="auto"/>
                <w:kern w:val="0"/>
                <w:sz w:val="24"/>
                <w:szCs w:val="24"/>
                <w:lang w:val="en-US" w:eastAsia="zh-CN"/>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5</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交货期</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kern w:val="0"/>
                <w:sz w:val="24"/>
                <w:szCs w:val="24"/>
              </w:rPr>
            </w:pPr>
            <w:r>
              <w:rPr>
                <w:rFonts w:hint="eastAsia" w:ascii="宋体" w:hAnsi="宋体" w:cs="宋体"/>
                <w:color w:val="auto"/>
                <w:kern w:val="0"/>
                <w:sz w:val="24"/>
                <w:szCs w:val="24"/>
              </w:rPr>
              <w:t>合同签订后</w:t>
            </w:r>
            <w:r>
              <w:rPr>
                <w:rFonts w:hint="eastAsia" w:ascii="宋体" w:hAnsi="宋体" w:cs="宋体"/>
                <w:color w:val="auto"/>
                <w:kern w:val="0"/>
                <w:sz w:val="24"/>
                <w:szCs w:val="24"/>
                <w:lang w:val="en-US" w:eastAsia="zh-CN"/>
              </w:rPr>
              <w:t>60</w:t>
            </w:r>
            <w:r>
              <w:rPr>
                <w:rFonts w:hint="eastAsia" w:ascii="宋体" w:hAnsi="宋体" w:cs="宋体"/>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6</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color w:val="auto"/>
                <w:sz w:val="24"/>
                <w:szCs w:val="24"/>
              </w:rPr>
              <w:t>磋商范围</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kern w:val="0"/>
                <w:sz w:val="24"/>
                <w:szCs w:val="24"/>
                <w:lang w:val="zh-CN"/>
              </w:rPr>
            </w:pPr>
            <w:r>
              <w:rPr>
                <w:rFonts w:hint="eastAsia" w:ascii="宋体"/>
                <w:color w:val="auto"/>
                <w:kern w:val="0"/>
                <w:sz w:val="24"/>
                <w:szCs w:val="24"/>
                <w:lang w:val="zh-CN"/>
              </w:rPr>
              <w:t>具体报价范围、采购范围及所应达到的具体要求，以本磋商文件中商务、技术和服务的响应规定为准。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7</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kern w:val="0"/>
                <w:sz w:val="24"/>
                <w:szCs w:val="24"/>
              </w:rPr>
            </w:pPr>
            <w:r>
              <w:rPr>
                <w:rFonts w:hint="eastAsia" w:ascii="宋体" w:hAnsi="宋体" w:cs="宋体"/>
                <w:color w:val="auto"/>
                <w:kern w:val="0"/>
                <w:sz w:val="24"/>
                <w:szCs w:val="24"/>
              </w:rPr>
              <w:t>供应商资质要求</w:t>
            </w:r>
          </w:p>
        </w:tc>
        <w:tc>
          <w:tcPr>
            <w:tcW w:w="6634" w:type="dxa"/>
            <w:vAlign w:val="center"/>
          </w:tcPr>
          <w:p>
            <w:pPr>
              <w:pStyle w:val="21"/>
              <w:keepNext w:val="0"/>
              <w:keepLines w:val="0"/>
              <w:pageBreakBefore w:val="0"/>
              <w:widowControl/>
              <w:kinsoku/>
              <w:wordWrap/>
              <w:overflowPunct/>
              <w:topLinePunct w:val="0"/>
              <w:autoSpaceDE/>
              <w:autoSpaceDN/>
              <w:bidi w:val="0"/>
              <w:adjustRightInd/>
              <w:snapToGrid/>
              <w:spacing w:line="340" w:lineRule="exact"/>
              <w:ind w:left="0"/>
              <w:jc w:val="both"/>
              <w:textAlignment w:val="auto"/>
              <w:rPr>
                <w:rFonts w:hint="eastAsia" w:ascii="宋体"/>
                <w:color w:val="auto"/>
                <w:lang w:val="en-US" w:eastAsia="zh-CN"/>
              </w:rPr>
            </w:pPr>
            <w:r>
              <w:rPr>
                <w:rFonts w:hint="eastAsia" w:ascii="宋体"/>
                <w:color w:val="auto"/>
                <w:lang w:val="en-US" w:eastAsia="zh-CN"/>
              </w:rPr>
              <w:t>（1）供应商必须符合《中华人民共和国政府采购法》第二十二条规定的条件。</w:t>
            </w:r>
          </w:p>
          <w:p>
            <w:pPr>
              <w:pStyle w:val="21"/>
              <w:keepNext w:val="0"/>
              <w:keepLines w:val="0"/>
              <w:pageBreakBefore w:val="0"/>
              <w:widowControl/>
              <w:kinsoku/>
              <w:wordWrap/>
              <w:overflowPunct/>
              <w:topLinePunct w:val="0"/>
              <w:autoSpaceDE/>
              <w:autoSpaceDN/>
              <w:bidi w:val="0"/>
              <w:adjustRightInd/>
              <w:snapToGrid/>
              <w:spacing w:line="340" w:lineRule="exact"/>
              <w:ind w:left="0"/>
              <w:jc w:val="both"/>
              <w:textAlignment w:val="auto"/>
              <w:rPr>
                <w:rFonts w:hint="eastAsia" w:ascii="宋体"/>
                <w:color w:val="auto"/>
                <w:lang w:val="en-US" w:eastAsia="zh-CN"/>
              </w:rPr>
            </w:pPr>
            <w:r>
              <w:rPr>
                <w:rFonts w:hint="eastAsia" w:ascii="宋体"/>
                <w:color w:val="auto"/>
                <w:lang w:val="en-US" w:eastAsia="zh-CN"/>
              </w:rPr>
              <w:t>（2）供应商必须是在中华人民共和国境内注册并取得《企业法人营业执照》。</w:t>
            </w:r>
          </w:p>
          <w:p>
            <w:pPr>
              <w:pStyle w:val="21"/>
              <w:keepNext w:val="0"/>
              <w:keepLines w:val="0"/>
              <w:pageBreakBefore w:val="0"/>
              <w:widowControl/>
              <w:kinsoku/>
              <w:wordWrap/>
              <w:overflowPunct/>
              <w:topLinePunct w:val="0"/>
              <w:autoSpaceDE/>
              <w:autoSpaceDN/>
              <w:bidi w:val="0"/>
              <w:adjustRightInd/>
              <w:snapToGrid/>
              <w:spacing w:line="340" w:lineRule="exact"/>
              <w:ind w:left="0"/>
              <w:jc w:val="both"/>
              <w:textAlignment w:val="auto"/>
              <w:rPr>
                <w:rFonts w:hint="eastAsia" w:ascii="宋体"/>
                <w:color w:val="auto"/>
                <w:lang w:val="en-US" w:eastAsia="zh-CN"/>
              </w:rPr>
            </w:pPr>
            <w:r>
              <w:rPr>
                <w:rFonts w:hint="eastAsia" w:ascii="宋体"/>
                <w:color w:val="auto"/>
                <w:lang w:val="en-US" w:eastAsia="zh-CN"/>
              </w:rPr>
              <w:t>（3）供应商近三年内有类似咨询相关业绩。</w:t>
            </w:r>
          </w:p>
          <w:p>
            <w:pPr>
              <w:pStyle w:val="21"/>
              <w:keepNext w:val="0"/>
              <w:keepLines w:val="0"/>
              <w:pageBreakBefore w:val="0"/>
              <w:widowControl/>
              <w:kinsoku/>
              <w:wordWrap/>
              <w:overflowPunct/>
              <w:topLinePunct w:val="0"/>
              <w:autoSpaceDE/>
              <w:autoSpaceDN/>
              <w:bidi w:val="0"/>
              <w:adjustRightInd/>
              <w:snapToGrid/>
              <w:spacing w:line="340" w:lineRule="exact"/>
              <w:ind w:left="0"/>
              <w:jc w:val="both"/>
              <w:textAlignment w:val="auto"/>
              <w:rPr>
                <w:rFonts w:ascii="宋体"/>
                <w:color w:val="auto"/>
              </w:rPr>
            </w:pPr>
            <w:r>
              <w:rPr>
                <w:rFonts w:hint="eastAsia" w:ascii="宋体"/>
                <w:color w:val="auto"/>
                <w:lang w:val="en-US" w:eastAsia="zh-CN"/>
              </w:rPr>
              <w:t>（4）供应商近三年未发生诉讼案件、未被列入失信被执行人、重大税收违法案件当事人名单、未被列入政府采购严重违法失信行为记录名单。（采购人一经发现供应商存在上述情况，有权取消供应商的谈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8</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勘察现场</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9</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采购方式</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10</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供应商</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提出书面问题</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地点：中钢集团武汉安全环保研究院有限公司</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时间：递交谈判响应文件截止时间两日前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11</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采购人对谈判文件的澄清或者修改</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时间：递交谈判响应文件截止时间一日前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ascii="宋体"/>
                <w:color w:val="auto"/>
                <w:sz w:val="24"/>
                <w:szCs w:val="24"/>
              </w:rPr>
            </w:pPr>
            <w:r>
              <w:rPr>
                <w:rFonts w:ascii="宋体" w:hAnsi="宋体" w:cs="宋体"/>
                <w:color w:val="auto"/>
                <w:sz w:val="24"/>
                <w:szCs w:val="24"/>
              </w:rPr>
              <w:t>12</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谈判响应文件份数</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color w:val="auto"/>
                <w:sz w:val="24"/>
                <w:szCs w:val="24"/>
                <w:u w:val="single"/>
              </w:rPr>
              <w:t>正本一份，副本二份，正本与副本不一致时以正本为准（电子磋商文件U盘一份）。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cs="宋体"/>
                <w:color w:val="auto"/>
                <w:sz w:val="24"/>
                <w:szCs w:val="24"/>
              </w:rPr>
            </w:pPr>
            <w:r>
              <w:rPr>
                <w:rFonts w:hint="eastAsia" w:ascii="宋体" w:hAnsi="宋体" w:cs="宋体"/>
                <w:color w:val="auto"/>
                <w:sz w:val="24"/>
                <w:szCs w:val="24"/>
              </w:rPr>
              <w:t>磋商响应文件递交截止时间与递交地点</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color w:val="auto"/>
                <w:sz w:val="24"/>
                <w:szCs w:val="24"/>
                <w:u w:val="single"/>
              </w:rPr>
            </w:pPr>
            <w:r>
              <w:rPr>
                <w:rFonts w:hint="eastAsia" w:ascii="宋体"/>
                <w:color w:val="auto"/>
                <w:sz w:val="24"/>
                <w:szCs w:val="24"/>
                <w:u w:val="single"/>
              </w:rPr>
              <w:t>时间：</w:t>
            </w:r>
            <w:r>
              <w:rPr>
                <w:rFonts w:ascii="宋体" w:hAnsi="宋体" w:cs="宋体"/>
                <w:color w:val="auto"/>
                <w:kern w:val="0"/>
                <w:sz w:val="24"/>
                <w:szCs w:val="24"/>
                <w:u w:val="single"/>
              </w:rPr>
              <w:t>202</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年</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月</w:t>
            </w:r>
            <w:r>
              <w:rPr>
                <w:rFonts w:hint="eastAsia" w:ascii="宋体" w:hAnsi="宋体" w:cs="宋体"/>
                <w:color w:val="auto"/>
                <w:kern w:val="0"/>
                <w:sz w:val="24"/>
                <w:szCs w:val="24"/>
                <w:u w:val="single"/>
                <w:lang w:val="en-US" w:eastAsia="zh-CN"/>
              </w:rPr>
              <w:t>29</w:t>
            </w:r>
            <w:r>
              <w:rPr>
                <w:rFonts w:hint="eastAsia" w:ascii="宋体" w:hAnsi="宋体" w:cs="宋体"/>
                <w:color w:val="auto"/>
                <w:kern w:val="0"/>
                <w:sz w:val="24"/>
                <w:szCs w:val="24"/>
                <w:u w:val="single"/>
              </w:rPr>
              <w:t>日</w:t>
            </w:r>
            <w:r>
              <w:rPr>
                <w:rFonts w:hint="eastAsia" w:ascii="宋体" w:hAnsi="宋体" w:cs="宋体"/>
                <w:color w:val="auto"/>
                <w:kern w:val="0"/>
                <w:sz w:val="24"/>
                <w:szCs w:val="24"/>
                <w:u w:val="single"/>
                <w:lang w:val="en-US" w:eastAsia="zh-CN"/>
              </w:rPr>
              <w:t>10</w:t>
            </w:r>
            <w:r>
              <w:rPr>
                <w:rFonts w:hint="eastAsia" w:ascii="宋体" w:hAnsi="宋体" w:cs="宋体"/>
                <w:color w:val="auto"/>
                <w:kern w:val="0"/>
                <w:sz w:val="24"/>
                <w:szCs w:val="24"/>
                <w:u w:val="single"/>
              </w:rPr>
              <w:t>点</w:t>
            </w:r>
            <w:r>
              <w:rPr>
                <w:rFonts w:ascii="宋体" w:cs="宋体"/>
                <w:color w:val="auto"/>
                <w:kern w:val="0"/>
                <w:sz w:val="24"/>
                <w:szCs w:val="24"/>
                <w:u w:val="single"/>
              </w:rPr>
              <w:t>00</w:t>
            </w:r>
            <w:r>
              <w:rPr>
                <w:rFonts w:hint="eastAsia" w:ascii="宋体" w:hAnsi="宋体" w:cs="宋体"/>
                <w:color w:val="auto"/>
                <w:kern w:val="0"/>
                <w:sz w:val="24"/>
                <w:szCs w:val="24"/>
                <w:u w:val="single"/>
              </w:rPr>
              <w:t>分</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color w:val="auto"/>
                <w:sz w:val="24"/>
                <w:szCs w:val="24"/>
                <w:u w:val="single"/>
              </w:rPr>
            </w:pPr>
            <w:r>
              <w:rPr>
                <w:rFonts w:hint="eastAsia" w:ascii="宋体"/>
                <w:color w:val="auto"/>
                <w:sz w:val="24"/>
                <w:szCs w:val="24"/>
                <w:u w:val="single"/>
              </w:rPr>
              <w:t>地点：</w:t>
            </w:r>
            <w:r>
              <w:rPr>
                <w:rFonts w:hint="eastAsia" w:ascii="宋体"/>
                <w:color w:val="auto"/>
                <w:sz w:val="24"/>
                <w:szCs w:val="24"/>
                <w:u w:val="single"/>
                <w:lang w:val="en-US" w:eastAsia="zh-CN"/>
              </w:rPr>
              <w:t>中钢集团武汉安全环保研究院有限公司</w:t>
            </w:r>
            <w:r>
              <w:rPr>
                <w:rFonts w:hint="eastAsia" w:ascii="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4</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响应文件递交截止时间</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eastAsia="宋体"/>
                <w:color w:val="auto"/>
                <w:sz w:val="24"/>
                <w:szCs w:val="24"/>
                <w:lang w:eastAsia="zh-CN"/>
              </w:rPr>
            </w:pPr>
            <w:r>
              <w:rPr>
                <w:rFonts w:hint="eastAsia" w:ascii="宋体" w:hAnsi="宋体" w:cs="宋体"/>
                <w:color w:val="auto"/>
                <w:sz w:val="24"/>
                <w:szCs w:val="24"/>
              </w:rPr>
              <w:t>截止时间：</w:t>
            </w:r>
            <w:r>
              <w:rPr>
                <w:rFonts w:ascii="宋体" w:hAnsi="宋体" w:cs="宋体"/>
                <w:color w:val="auto"/>
                <w:kern w:val="0"/>
                <w:sz w:val="24"/>
                <w:szCs w:val="24"/>
                <w:u w:val="single"/>
              </w:rPr>
              <w:t>202</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年</w:t>
            </w:r>
            <w:r>
              <w:rPr>
                <w:rFonts w:hint="eastAsia" w:ascii="宋体" w:hAnsi="宋体" w:cs="宋体"/>
                <w:color w:val="auto"/>
                <w:kern w:val="0"/>
                <w:sz w:val="24"/>
                <w:szCs w:val="24"/>
                <w:u w:val="single"/>
                <w:lang w:val="en-US" w:eastAsia="zh-CN"/>
              </w:rPr>
              <w:t>3</w:t>
            </w:r>
            <w:r>
              <w:rPr>
                <w:rFonts w:hint="eastAsia" w:ascii="宋体" w:hAnsi="宋体" w:cs="宋体"/>
                <w:color w:val="auto"/>
                <w:kern w:val="0"/>
                <w:sz w:val="24"/>
                <w:szCs w:val="24"/>
                <w:u w:val="single"/>
              </w:rPr>
              <w:t>月</w:t>
            </w:r>
            <w:r>
              <w:rPr>
                <w:rFonts w:hint="eastAsia" w:ascii="宋体" w:hAnsi="宋体" w:cs="宋体"/>
                <w:color w:val="auto"/>
                <w:kern w:val="0"/>
                <w:sz w:val="24"/>
                <w:szCs w:val="24"/>
                <w:u w:val="single"/>
                <w:lang w:val="en-US" w:eastAsia="zh-CN"/>
              </w:rPr>
              <w:t>29</w:t>
            </w:r>
            <w:r>
              <w:rPr>
                <w:rFonts w:hint="eastAsia" w:ascii="宋体" w:hAnsi="宋体" w:cs="宋体"/>
                <w:color w:val="auto"/>
                <w:kern w:val="0"/>
                <w:sz w:val="24"/>
                <w:szCs w:val="24"/>
                <w:u w:val="single"/>
              </w:rPr>
              <w:t>日</w:t>
            </w:r>
            <w:r>
              <w:rPr>
                <w:rFonts w:hint="eastAsia" w:ascii="宋体" w:hAnsi="宋体" w:cs="宋体"/>
                <w:color w:val="auto"/>
                <w:kern w:val="0"/>
                <w:sz w:val="24"/>
                <w:szCs w:val="24"/>
                <w:u w:val="single"/>
                <w:lang w:val="en-US" w:eastAsia="zh-CN"/>
              </w:rPr>
              <w:t>10</w:t>
            </w:r>
            <w:r>
              <w:rPr>
                <w:rFonts w:hint="eastAsia" w:ascii="宋体" w:hAnsi="宋体" w:cs="宋体"/>
                <w:color w:val="auto"/>
                <w:kern w:val="0"/>
                <w:sz w:val="24"/>
                <w:szCs w:val="24"/>
                <w:u w:val="single"/>
              </w:rPr>
              <w:t>点</w:t>
            </w:r>
            <w:r>
              <w:rPr>
                <w:rFonts w:ascii="宋体" w:cs="宋体"/>
                <w:color w:val="auto"/>
                <w:kern w:val="0"/>
                <w:sz w:val="24"/>
                <w:szCs w:val="24"/>
                <w:u w:val="single"/>
              </w:rPr>
              <w:t>00</w:t>
            </w:r>
            <w:r>
              <w:rPr>
                <w:rFonts w:hint="eastAsia" w:ascii="宋体" w:hAnsi="宋体" w:cs="宋体"/>
                <w:color w:val="auto"/>
                <w:kern w:val="0"/>
                <w:sz w:val="24"/>
                <w:szCs w:val="24"/>
                <w:u w:val="single"/>
              </w:rPr>
              <w:t>分</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北京时间</w:t>
            </w:r>
            <w:r>
              <w:rPr>
                <w:rFonts w:hint="eastAsia" w:ascii="宋体" w:hAnsi="宋体" w:cs="宋体"/>
                <w:color w:val="auto"/>
                <w:kern w:val="0"/>
                <w:sz w:val="24"/>
                <w:szCs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cs="宋体"/>
                <w:color w:val="auto"/>
                <w:sz w:val="24"/>
                <w:szCs w:val="24"/>
              </w:rPr>
            </w:pPr>
            <w:r>
              <w:rPr>
                <w:rFonts w:hint="eastAsia" w:ascii="宋体" w:hAnsi="宋体" w:cs="宋体"/>
                <w:color w:val="auto"/>
                <w:sz w:val="24"/>
                <w:szCs w:val="24"/>
              </w:rPr>
              <w:t>磋商响应文件的装订要求</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采用A4纸印刷，采用胶装方式装订，正本与副本应装订成册并密封包装在一个封套内。</w:t>
            </w:r>
          </w:p>
          <w:p>
            <w:pPr>
              <w:pStyle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封套上写明：（1）采购项目名称</w:t>
            </w:r>
          </w:p>
          <w:p>
            <w:pPr>
              <w:pStyle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（2）供应商名称</w:t>
            </w:r>
          </w:p>
          <w:p>
            <w:pPr>
              <w:pStyle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（3）2023年3月29日</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时00分（即磋商截止时间）之前不得启封</w:t>
            </w:r>
          </w:p>
          <w:p>
            <w:pPr>
              <w:pStyle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（4）在封套密封骑缝处加盖供应商公章及法定代表人或其委托代理人印章或签字</w:t>
            </w:r>
          </w:p>
          <w:p>
            <w:pPr>
              <w:pStyle w:val="9"/>
              <w:rPr>
                <w:rFonts w:hint="eastAsia"/>
                <w:color w:val="auto"/>
              </w:rPr>
            </w:pPr>
            <w:r>
              <w:rPr>
                <w:rFonts w:hint="eastAsia" w:ascii="宋体" w:hAnsi="宋体" w:eastAsia="宋体" w:cs="宋体"/>
                <w:color w:val="auto"/>
                <w:kern w:val="2"/>
                <w:sz w:val="24"/>
                <w:szCs w:val="24"/>
                <w:lang w:val="en-US" w:eastAsia="zh-CN" w:bidi="ar-SA"/>
              </w:rPr>
              <w:t>（未按要求封装的磋商响应文件将被拒收）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lang w:val="en-US" w:eastAsia="zh-CN"/>
              </w:rPr>
              <w:t>6</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评审方法、步骤及标准</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宋体"/>
                <w:color w:val="auto"/>
                <w:sz w:val="24"/>
                <w:szCs w:val="24"/>
              </w:rPr>
            </w:pPr>
            <w:r>
              <w:rPr>
                <w:rFonts w:hint="eastAsia" w:ascii="宋体" w:hAnsi="宋体" w:cs="宋体"/>
                <w:color w:val="auto"/>
                <w:sz w:val="24"/>
                <w:szCs w:val="24"/>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default" w:ascii="宋体" w:hAnsi="宋体" w:cs="宋体"/>
                <w:color w:val="auto"/>
                <w:sz w:val="24"/>
                <w:szCs w:val="24"/>
                <w:lang w:val="en-US"/>
              </w:rPr>
            </w:pPr>
            <w:bookmarkStart w:id="7" w:name="_Toc515219958"/>
            <w:bookmarkStart w:id="8" w:name="_Toc515219897"/>
            <w:r>
              <w:rPr>
                <w:rFonts w:hint="eastAsia" w:ascii="宋体" w:hAnsi="宋体" w:cs="宋体"/>
                <w:color w:val="auto"/>
                <w:sz w:val="24"/>
                <w:szCs w:val="24"/>
                <w:lang w:val="en-US" w:eastAsia="zh-CN"/>
              </w:rPr>
              <w:t>17</w:t>
            </w:r>
          </w:p>
        </w:tc>
        <w:tc>
          <w:tcPr>
            <w:tcW w:w="2466"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cs="宋体"/>
                <w:color w:val="auto"/>
                <w:sz w:val="24"/>
                <w:szCs w:val="24"/>
              </w:rPr>
            </w:pPr>
            <w:r>
              <w:rPr>
                <w:rFonts w:hint="eastAsia" w:cs="Times New Roman"/>
                <w:color w:val="auto"/>
                <w:sz w:val="24"/>
                <w:szCs w:val="21"/>
                <w:lang w:val="en-US" w:eastAsia="zh-CN"/>
              </w:rPr>
              <w:t>谈判保证金</w:t>
            </w:r>
          </w:p>
        </w:tc>
        <w:tc>
          <w:tcPr>
            <w:tcW w:w="6634"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金额：</w:t>
            </w:r>
            <w:r>
              <w:rPr>
                <w:rFonts w:hint="eastAsia" w:cs="Times New Roman"/>
                <w:color w:val="auto"/>
                <w:sz w:val="24"/>
                <w:lang w:val="en-US" w:eastAsia="zh-CN"/>
              </w:rPr>
              <w:t xml:space="preserve">/ </w:t>
            </w:r>
            <w:r>
              <w:rPr>
                <w:rFonts w:ascii="Times New Roman" w:hAnsi="Times New Roman" w:eastAsia="宋体" w:cs="Times New Roman"/>
                <w:color w:val="auto"/>
                <w:sz w:val="24"/>
              </w:rPr>
              <w:t>元</w:t>
            </w:r>
          </w:p>
          <w:p>
            <w:pPr>
              <w:keepNext w:val="0"/>
              <w:keepLines w:val="0"/>
              <w:pageBreakBefore w:val="0"/>
              <w:kinsoku/>
              <w:wordWrap/>
              <w:overflowPunct/>
              <w:topLinePunct w:val="0"/>
              <w:autoSpaceDE/>
              <w:autoSpaceDN/>
              <w:bidi w:val="0"/>
              <w:adjustRightInd/>
              <w:snapToGrid/>
              <w:spacing w:line="340" w:lineRule="exact"/>
              <w:ind w:left="0" w:hanging="1152" w:hangingChars="480"/>
              <w:jc w:val="both"/>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收款单位：中钢集团武汉安全环保研究院有限公司</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开户银行：工商银行红卫路支行</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账    号：3202007509000190649</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大额行号：1025 2100 0708</w:t>
            </w:r>
          </w:p>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宋体" w:hAnsi="宋体" w:eastAsia="宋体" w:cs="宋体"/>
                <w:color w:val="auto"/>
                <w:sz w:val="24"/>
                <w:szCs w:val="24"/>
                <w:lang w:val="en-US" w:eastAsia="zh-CN"/>
              </w:rPr>
            </w:pPr>
            <w:r>
              <w:rPr>
                <w:rFonts w:ascii="Times New Roman" w:hAnsi="Times New Roman" w:eastAsia="宋体" w:cs="Times New Roman"/>
                <w:color w:val="auto"/>
                <w:sz w:val="24"/>
              </w:rPr>
              <w:t>同城行号：827198</w:t>
            </w:r>
          </w:p>
        </w:tc>
      </w:tr>
    </w:tbl>
    <w:p>
      <w:pPr>
        <w:spacing w:line="360" w:lineRule="auto"/>
        <w:ind w:firstLine="3614" w:firstLineChars="1000"/>
        <w:rPr>
          <w:rFonts w:ascii="宋体"/>
          <w:b/>
          <w:bCs/>
          <w:color w:val="auto"/>
          <w:sz w:val="36"/>
          <w:szCs w:val="36"/>
        </w:rPr>
      </w:pPr>
      <w:r>
        <w:rPr>
          <w:rFonts w:hint="eastAsia" w:ascii="宋体" w:hAnsi="宋体" w:cs="宋体"/>
          <w:b/>
          <w:bCs/>
          <w:color w:val="auto"/>
          <w:sz w:val="36"/>
          <w:szCs w:val="36"/>
        </w:rPr>
        <w:t>一、说</w:t>
      </w:r>
      <w:r>
        <w:rPr>
          <w:rFonts w:ascii="宋体" w:hAnsi="宋体" w:cs="宋体"/>
          <w:b/>
          <w:bCs/>
          <w:color w:val="auto"/>
          <w:sz w:val="36"/>
          <w:szCs w:val="36"/>
        </w:rPr>
        <w:t xml:space="preserve">  </w:t>
      </w:r>
      <w:r>
        <w:rPr>
          <w:rFonts w:hint="eastAsia" w:ascii="宋体" w:hAnsi="宋体" w:cs="宋体"/>
          <w:b/>
          <w:bCs/>
          <w:color w:val="auto"/>
          <w:sz w:val="36"/>
          <w:szCs w:val="36"/>
        </w:rPr>
        <w:t>明</w:t>
      </w:r>
      <w:bookmarkEnd w:id="7"/>
      <w:bookmarkEnd w:id="8"/>
    </w:p>
    <w:p>
      <w:pPr>
        <w:spacing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、项目概况：</w:t>
      </w:r>
    </w:p>
    <w:p>
      <w:pPr>
        <w:spacing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采购</w:t>
      </w:r>
      <w:r>
        <w:rPr>
          <w:rFonts w:hint="eastAsia" w:ascii="宋体" w:hAnsi="宋体" w:cs="宋体"/>
          <w:color w:val="auto"/>
          <w:sz w:val="24"/>
          <w:szCs w:val="24"/>
          <w:lang w:val="en-US" w:eastAsia="zh-CN"/>
        </w:rPr>
        <w:t>咨询</w:t>
      </w:r>
      <w:r>
        <w:rPr>
          <w:rFonts w:hint="eastAsia" w:ascii="宋体" w:hAnsi="宋体" w:cs="宋体"/>
          <w:color w:val="auto"/>
          <w:sz w:val="24"/>
          <w:szCs w:val="24"/>
        </w:rPr>
        <w:t>范围见供应商须知。</w:t>
      </w:r>
    </w:p>
    <w:p>
      <w:pPr>
        <w:spacing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本项目按照国家规定的相关法律、法规规定，采用</w:t>
      </w:r>
      <w:r>
        <w:rPr>
          <w:rFonts w:hint="eastAsia" w:ascii="宋体" w:hAnsi="宋体" w:cs="宋体"/>
          <w:color w:val="auto"/>
          <w:sz w:val="24"/>
          <w:szCs w:val="24"/>
          <w:u w:val="single"/>
        </w:rPr>
        <w:t>竞争性谈判</w:t>
      </w:r>
      <w:r>
        <w:rPr>
          <w:rFonts w:hint="eastAsia" w:ascii="宋体" w:hAnsi="宋体" w:cs="宋体"/>
          <w:color w:val="auto"/>
          <w:sz w:val="24"/>
          <w:szCs w:val="24"/>
        </w:rPr>
        <w:t>采购方式，择优按评审得分确定成交供应商。</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定义</w:t>
      </w:r>
    </w:p>
    <w:p>
      <w:pPr>
        <w:spacing w:line="360" w:lineRule="auto"/>
        <w:rPr>
          <w:rFonts w:ascii="宋体"/>
          <w:color w:val="auto"/>
          <w:sz w:val="24"/>
          <w:szCs w:val="24"/>
        </w:rPr>
      </w:pPr>
      <w:r>
        <w:rPr>
          <w:rFonts w:ascii="宋体" w:hAnsi="宋体" w:cs="宋体"/>
          <w:color w:val="auto"/>
          <w:sz w:val="24"/>
          <w:szCs w:val="24"/>
        </w:rPr>
        <w:t>2.1</w:t>
      </w:r>
      <w:r>
        <w:rPr>
          <w:rFonts w:hint="eastAsia" w:ascii="宋体" w:hAnsi="宋体" w:cs="宋体"/>
          <w:color w:val="auto"/>
          <w:sz w:val="24"/>
          <w:szCs w:val="24"/>
        </w:rPr>
        <w:t>“采购人”是指：中钢集团武汉安全环保研究院有限公司</w:t>
      </w:r>
    </w:p>
    <w:p>
      <w:pPr>
        <w:spacing w:line="360" w:lineRule="auto"/>
        <w:rPr>
          <w:rFonts w:ascii="宋体"/>
          <w:color w:val="auto"/>
          <w:sz w:val="24"/>
          <w:szCs w:val="24"/>
        </w:rPr>
      </w:pPr>
      <w:r>
        <w:rPr>
          <w:rFonts w:ascii="宋体" w:hAnsi="宋体" w:cs="宋体"/>
          <w:color w:val="auto"/>
          <w:sz w:val="24"/>
          <w:szCs w:val="24"/>
        </w:rPr>
        <w:t>2.2</w:t>
      </w:r>
      <w:r>
        <w:rPr>
          <w:rFonts w:hint="eastAsia" w:ascii="宋体" w:hAnsi="宋体" w:cs="宋体"/>
          <w:color w:val="auto"/>
          <w:sz w:val="24"/>
          <w:szCs w:val="24"/>
        </w:rPr>
        <w:t>供应商资格要求</w:t>
      </w:r>
    </w:p>
    <w:p>
      <w:pPr>
        <w:spacing w:line="360" w:lineRule="auto"/>
        <w:rPr>
          <w:rFonts w:ascii="宋体"/>
          <w:color w:val="auto"/>
          <w:sz w:val="24"/>
          <w:szCs w:val="24"/>
        </w:rPr>
      </w:pPr>
      <w:r>
        <w:rPr>
          <w:rFonts w:hint="eastAsia" w:ascii="宋体" w:hAnsi="宋体" w:cs="宋体"/>
          <w:color w:val="auto"/>
          <w:sz w:val="24"/>
          <w:szCs w:val="24"/>
        </w:rPr>
        <w:t>详见供应商须知前附表项号</w:t>
      </w:r>
      <w:r>
        <w:rPr>
          <w:rFonts w:ascii="宋体" w:hAnsi="宋体" w:cs="宋体"/>
          <w:color w:val="auto"/>
          <w:sz w:val="24"/>
          <w:szCs w:val="24"/>
        </w:rPr>
        <w:t>7</w:t>
      </w:r>
    </w:p>
    <w:p>
      <w:pPr>
        <w:spacing w:line="360" w:lineRule="auto"/>
        <w:rPr>
          <w:rFonts w:ascii="宋体"/>
          <w:color w:val="auto"/>
          <w:sz w:val="24"/>
          <w:szCs w:val="24"/>
        </w:rPr>
      </w:pPr>
      <w:r>
        <w:rPr>
          <w:rFonts w:ascii="宋体" w:hAnsi="宋体" w:cs="宋体"/>
          <w:color w:val="auto"/>
          <w:sz w:val="24"/>
          <w:szCs w:val="24"/>
        </w:rPr>
        <w:t>2.3</w:t>
      </w:r>
      <w:r>
        <w:rPr>
          <w:rFonts w:hint="eastAsia" w:ascii="宋体" w:hAnsi="宋体" w:cs="宋体"/>
          <w:color w:val="auto"/>
          <w:sz w:val="24"/>
          <w:szCs w:val="24"/>
        </w:rPr>
        <w:t>“成交供应商”是指经谈判小组评审</w:t>
      </w:r>
      <w:r>
        <w:rPr>
          <w:rFonts w:ascii="宋体" w:cs="宋体"/>
          <w:color w:val="auto"/>
          <w:sz w:val="24"/>
          <w:szCs w:val="24"/>
        </w:rPr>
        <w:t>,</w:t>
      </w:r>
      <w:r>
        <w:rPr>
          <w:rFonts w:hint="eastAsia" w:ascii="宋体" w:hAnsi="宋体" w:cs="宋体"/>
          <w:color w:val="auto"/>
          <w:sz w:val="24"/>
          <w:szCs w:val="24"/>
        </w:rPr>
        <w:t>经采购人确认，被授予合同的供应商。</w:t>
      </w:r>
    </w:p>
    <w:p>
      <w:pPr>
        <w:spacing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勘察现场</w:t>
      </w:r>
    </w:p>
    <w:p>
      <w:pPr>
        <w:spacing w:line="360" w:lineRule="auto"/>
        <w:ind w:firstLine="57"/>
        <w:rPr>
          <w:rFonts w:ascii="宋体"/>
          <w:color w:val="auto"/>
          <w:sz w:val="24"/>
          <w:szCs w:val="24"/>
        </w:rPr>
      </w:pPr>
      <w:r>
        <w:rPr>
          <w:rFonts w:ascii="宋体" w:hAnsi="宋体" w:cs="宋体"/>
          <w:color w:val="auto"/>
          <w:sz w:val="24"/>
          <w:szCs w:val="24"/>
        </w:rPr>
        <w:t>3.1</w:t>
      </w:r>
      <w:r>
        <w:rPr>
          <w:rFonts w:hint="eastAsia" w:ascii="宋体" w:hAnsi="宋体" w:cs="宋体"/>
          <w:color w:val="auto"/>
          <w:sz w:val="24"/>
          <w:szCs w:val="24"/>
        </w:rPr>
        <w:t>供应商须知前附表规定组织踏勘现场的，采购人按供应商须知前附表规定的时间、地点组织供应商踏勘项目现场</w:t>
      </w:r>
      <w:r>
        <w:rPr>
          <w:rFonts w:hint="eastAsia" w:ascii="宋体" w:hAnsi="宋体" w:cs="宋体"/>
          <w:color w:val="auto"/>
          <w:sz w:val="24"/>
          <w:szCs w:val="24"/>
          <w:lang w:eastAsia="zh-CN"/>
        </w:rPr>
        <w:t>，</w:t>
      </w:r>
      <w:r>
        <w:rPr>
          <w:rFonts w:hint="eastAsia" w:ascii="宋体" w:hAnsi="宋体" w:cs="宋体"/>
          <w:color w:val="auto"/>
          <w:sz w:val="24"/>
          <w:szCs w:val="24"/>
        </w:rPr>
        <w:t xml:space="preserve">供应商踏勘现场发生的费用自理。 </w:t>
      </w:r>
    </w:p>
    <w:p>
      <w:pPr>
        <w:pStyle w:val="10"/>
        <w:spacing w:line="360" w:lineRule="auto"/>
        <w:ind w:right="-107" w:firstLine="0"/>
        <w:rPr>
          <w:rFonts w:cs="Times New Roman"/>
          <w:color w:val="auto"/>
          <w:sz w:val="24"/>
          <w:szCs w:val="24"/>
        </w:rPr>
      </w:pPr>
      <w:r>
        <w:rPr>
          <w:color w:val="auto"/>
          <w:sz w:val="24"/>
          <w:szCs w:val="24"/>
        </w:rPr>
        <w:t>3.2</w:t>
      </w:r>
      <w:r>
        <w:rPr>
          <w:rFonts w:hint="eastAsia"/>
          <w:color w:val="auto"/>
          <w:sz w:val="24"/>
          <w:szCs w:val="24"/>
        </w:rPr>
        <w:t>采购人向供应商提供的有关现场的资料和数据仅是采购人现有的能使供应商利用的资料。采购人对供应商由此而作出的推断、理解和结论概不负责。</w:t>
      </w:r>
    </w:p>
    <w:p>
      <w:pPr>
        <w:spacing w:line="360" w:lineRule="auto"/>
        <w:rPr>
          <w:rFonts w:ascii="宋体"/>
          <w:color w:val="auto"/>
          <w:sz w:val="24"/>
          <w:szCs w:val="24"/>
        </w:rPr>
      </w:pPr>
      <w:r>
        <w:rPr>
          <w:rFonts w:ascii="宋体" w:hAnsi="宋体" w:cs="宋体"/>
          <w:color w:val="auto"/>
          <w:sz w:val="24"/>
          <w:szCs w:val="24"/>
        </w:rPr>
        <w:t>3.3</w:t>
      </w:r>
      <w:r>
        <w:rPr>
          <w:rFonts w:hint="eastAsia" w:ascii="宋体" w:hAnsi="宋体" w:cs="宋体"/>
          <w:color w:val="auto"/>
          <w:sz w:val="24"/>
          <w:szCs w:val="24"/>
        </w:rPr>
        <w:t>供应商及其人员经过采购人的允许，可为勘察目的进入采购人的</w:t>
      </w:r>
      <w:r>
        <w:rPr>
          <w:rFonts w:hint="eastAsia" w:ascii="宋体" w:hAnsi="宋体" w:cs="宋体"/>
          <w:color w:val="auto"/>
          <w:sz w:val="24"/>
          <w:szCs w:val="24"/>
          <w:lang w:val="en-US" w:eastAsia="zh-CN"/>
        </w:rPr>
        <w:t>项目</w:t>
      </w:r>
      <w:r>
        <w:rPr>
          <w:rFonts w:hint="eastAsia" w:ascii="宋体" w:hAnsi="宋体" w:cs="宋体"/>
          <w:color w:val="auto"/>
          <w:sz w:val="24"/>
          <w:szCs w:val="24"/>
        </w:rPr>
        <w:t>现场，供应商及其人员因勘察现场而造成的死亡、人身伤害、财产损失、损害以及任何其它损失、损害所引起的费用，由供应商自行承担责任。</w:t>
      </w:r>
    </w:p>
    <w:p>
      <w:pPr>
        <w:spacing w:line="360" w:lineRule="auto"/>
        <w:ind w:firstLine="57"/>
        <w:rPr>
          <w:rFonts w:ascii="宋体"/>
          <w:color w:val="auto"/>
          <w:sz w:val="24"/>
          <w:szCs w:val="24"/>
        </w:rPr>
      </w:pPr>
      <w:r>
        <w:rPr>
          <w:rFonts w:ascii="宋体" w:hAnsi="宋体" w:cs="宋体"/>
          <w:color w:val="auto"/>
          <w:sz w:val="24"/>
          <w:szCs w:val="24"/>
        </w:rPr>
        <w:t>3.4</w:t>
      </w:r>
      <w:r>
        <w:rPr>
          <w:rFonts w:hint="eastAsia" w:ascii="宋体" w:hAnsi="宋体" w:cs="宋体"/>
          <w:color w:val="auto"/>
          <w:sz w:val="24"/>
          <w:szCs w:val="24"/>
        </w:rPr>
        <w:t>如果供应商需要再次进行现场勘察，采购人将予以支持，费用自理。</w:t>
      </w:r>
    </w:p>
    <w:p>
      <w:pPr>
        <w:spacing w:line="360" w:lineRule="auto"/>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谈判费用</w:t>
      </w:r>
    </w:p>
    <w:p>
      <w:pPr>
        <w:spacing w:line="360" w:lineRule="auto"/>
        <w:rPr>
          <w:rFonts w:ascii="宋体"/>
          <w:color w:val="auto"/>
          <w:sz w:val="24"/>
          <w:szCs w:val="24"/>
        </w:rPr>
      </w:pPr>
      <w:r>
        <w:rPr>
          <w:rFonts w:ascii="宋体" w:hAnsi="宋体" w:cs="宋体"/>
          <w:color w:val="auto"/>
          <w:sz w:val="24"/>
          <w:szCs w:val="24"/>
        </w:rPr>
        <w:t>4.1</w:t>
      </w:r>
      <w:r>
        <w:rPr>
          <w:rFonts w:hint="eastAsia" w:ascii="宋体" w:hAnsi="宋体" w:cs="宋体"/>
          <w:color w:val="auto"/>
          <w:sz w:val="24"/>
          <w:szCs w:val="24"/>
        </w:rPr>
        <w:t>供应商应承担所有参与谈判的有关费用，不论结果如何，采购人均无义务和责任承担这些费用。</w:t>
      </w:r>
    </w:p>
    <w:p>
      <w:pPr>
        <w:spacing w:line="360" w:lineRule="auto"/>
        <w:jc w:val="center"/>
        <w:rPr>
          <w:rFonts w:ascii="宋体"/>
          <w:b/>
          <w:bCs/>
          <w:color w:val="auto"/>
          <w:sz w:val="36"/>
          <w:szCs w:val="36"/>
        </w:rPr>
      </w:pPr>
      <w:bookmarkStart w:id="9" w:name="_Toc515219959"/>
      <w:bookmarkStart w:id="10" w:name="_Toc515219898"/>
      <w:r>
        <w:rPr>
          <w:rFonts w:hint="eastAsia" w:ascii="宋体" w:hAnsi="宋体" w:cs="宋体"/>
          <w:b/>
          <w:bCs/>
          <w:color w:val="auto"/>
          <w:sz w:val="36"/>
          <w:szCs w:val="36"/>
        </w:rPr>
        <w:t>二、谈判文件</w:t>
      </w:r>
      <w:bookmarkEnd w:id="9"/>
      <w:bookmarkEnd w:id="10"/>
    </w:p>
    <w:p>
      <w:pPr>
        <w:spacing w:line="360" w:lineRule="auto"/>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、竞争性谈判文件的组成</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本竞争性谈判文件、评审办法及所有按第（</w:t>
      </w:r>
      <w:r>
        <w:rPr>
          <w:rFonts w:ascii="宋体" w:hAnsi="宋体" w:cs="宋体"/>
          <w:color w:val="auto"/>
          <w:sz w:val="24"/>
          <w:szCs w:val="24"/>
        </w:rPr>
        <w:t>6</w:t>
      </w:r>
      <w:r>
        <w:rPr>
          <w:rFonts w:hint="eastAsia" w:ascii="宋体" w:hAnsi="宋体" w:cs="宋体"/>
          <w:color w:val="auto"/>
          <w:sz w:val="24"/>
          <w:szCs w:val="24"/>
        </w:rPr>
        <w:t>）条发出的书面澄清、修改、答疑等补充通知为谈判文件的组成部分。</w:t>
      </w:r>
    </w:p>
    <w:p>
      <w:pPr>
        <w:spacing w:line="360" w:lineRule="auto"/>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、谈判文件的澄清、修改、答疑</w:t>
      </w:r>
    </w:p>
    <w:p>
      <w:pPr>
        <w:spacing w:line="360" w:lineRule="auto"/>
        <w:rPr>
          <w:rFonts w:ascii="宋体"/>
          <w:color w:val="auto"/>
          <w:sz w:val="24"/>
          <w:szCs w:val="24"/>
        </w:rPr>
      </w:pPr>
      <w:r>
        <w:rPr>
          <w:rFonts w:ascii="宋体" w:hAnsi="宋体" w:cs="宋体"/>
          <w:color w:val="auto"/>
          <w:sz w:val="24"/>
          <w:szCs w:val="24"/>
        </w:rPr>
        <w:t>6.1</w:t>
      </w:r>
      <w:r>
        <w:rPr>
          <w:rFonts w:hint="eastAsia" w:ascii="宋体" w:hAnsi="宋体" w:cs="宋体"/>
          <w:color w:val="auto"/>
          <w:sz w:val="24"/>
          <w:szCs w:val="24"/>
        </w:rPr>
        <w:t>任何要求对谈判文件进行澄清的供应商，均应以书面形式在开标</w:t>
      </w:r>
      <w:r>
        <w:rPr>
          <w:rFonts w:ascii="宋体" w:hAnsi="宋体" w:cs="宋体"/>
          <w:color w:val="auto"/>
          <w:sz w:val="24"/>
          <w:szCs w:val="24"/>
        </w:rPr>
        <w:t>2</w:t>
      </w:r>
      <w:r>
        <w:rPr>
          <w:rFonts w:hint="eastAsia" w:ascii="宋体" w:hAnsi="宋体" w:cs="宋体"/>
          <w:color w:val="auto"/>
          <w:sz w:val="24"/>
          <w:szCs w:val="24"/>
        </w:rPr>
        <w:t>天前通知采购人。采购人对供应商所要求澄清的内容均以书面形式予以答复。</w:t>
      </w:r>
    </w:p>
    <w:p>
      <w:pPr>
        <w:pStyle w:val="21"/>
        <w:widowControl/>
        <w:spacing w:line="360" w:lineRule="auto"/>
        <w:rPr>
          <w:rFonts w:ascii="宋体"/>
          <w:color w:val="auto"/>
          <w:kern w:val="2"/>
        </w:rPr>
      </w:pPr>
      <w:r>
        <w:rPr>
          <w:rFonts w:ascii="宋体" w:hAnsi="宋体" w:cs="宋体"/>
          <w:color w:val="auto"/>
          <w:kern w:val="2"/>
        </w:rPr>
        <w:t>6.2</w:t>
      </w:r>
      <w:r>
        <w:rPr>
          <w:rFonts w:hint="eastAsia" w:ascii="宋体" w:hAnsi="宋体" w:cs="宋体"/>
          <w:color w:val="auto"/>
          <w:kern w:val="2"/>
        </w:rPr>
        <w:t>采购人已发出的谈判文件进行必要的澄清或者修改，澄清或者修改的内容作为谈判文件的组成部分。澄清或者修改的内容可能影响响应文件编制的，采购人应当在提交首次响应文件截止时间至少</w:t>
      </w:r>
      <w:r>
        <w:rPr>
          <w:rFonts w:ascii="宋体" w:hAnsi="宋体" w:cs="宋体"/>
          <w:color w:val="auto"/>
          <w:kern w:val="2"/>
        </w:rPr>
        <w:t>2</w:t>
      </w:r>
      <w:r>
        <w:rPr>
          <w:rFonts w:hint="eastAsia" w:ascii="宋体" w:hAnsi="宋体" w:cs="宋体"/>
          <w:color w:val="auto"/>
          <w:kern w:val="2"/>
        </w:rPr>
        <w:t>日前，以书面形式通知所有获取谈判文件的供应商；不足</w:t>
      </w:r>
      <w:r>
        <w:rPr>
          <w:rFonts w:ascii="宋体" w:hAnsi="宋体" w:cs="宋体"/>
          <w:color w:val="auto"/>
          <w:kern w:val="2"/>
        </w:rPr>
        <w:t>2</w:t>
      </w:r>
      <w:r>
        <w:rPr>
          <w:rFonts w:hint="eastAsia" w:ascii="宋体" w:hAnsi="宋体" w:cs="宋体"/>
          <w:color w:val="auto"/>
          <w:kern w:val="2"/>
        </w:rPr>
        <w:t>日的，采购人应当顺延提交首次响应文件截止时间。</w:t>
      </w:r>
    </w:p>
    <w:p>
      <w:pPr>
        <w:spacing w:line="360" w:lineRule="auto"/>
        <w:rPr>
          <w:rFonts w:ascii="宋体"/>
          <w:color w:val="auto"/>
          <w:sz w:val="24"/>
          <w:szCs w:val="24"/>
        </w:rPr>
      </w:pPr>
      <w:r>
        <w:rPr>
          <w:rFonts w:ascii="宋体" w:hAnsi="宋体" w:cs="宋体"/>
          <w:color w:val="auto"/>
          <w:sz w:val="24"/>
          <w:szCs w:val="24"/>
        </w:rPr>
        <w:t>6.3</w:t>
      </w:r>
      <w:r>
        <w:rPr>
          <w:rFonts w:hint="eastAsia" w:ascii="宋体" w:hAnsi="宋体" w:cs="宋体"/>
          <w:color w:val="auto"/>
          <w:sz w:val="24"/>
          <w:szCs w:val="24"/>
        </w:rPr>
        <w:t>供应商在规定的时间内未对谈判文件澄清或提出疑问的，采购人将视其为同意。</w:t>
      </w:r>
    </w:p>
    <w:p>
      <w:pPr>
        <w:spacing w:line="360" w:lineRule="auto"/>
        <w:jc w:val="center"/>
        <w:rPr>
          <w:rFonts w:ascii="宋体"/>
          <w:b/>
          <w:bCs/>
          <w:color w:val="auto"/>
          <w:sz w:val="36"/>
          <w:szCs w:val="36"/>
        </w:rPr>
      </w:pPr>
      <w:r>
        <w:rPr>
          <w:rFonts w:hint="eastAsia" w:ascii="宋体" w:hAnsi="宋体" w:cs="宋体"/>
          <w:b/>
          <w:bCs/>
          <w:color w:val="auto"/>
          <w:sz w:val="36"/>
          <w:szCs w:val="36"/>
        </w:rPr>
        <w:t>三、谈判报价</w:t>
      </w:r>
    </w:p>
    <w:p>
      <w:pPr>
        <w:spacing w:line="360" w:lineRule="auto"/>
        <w:ind w:firstLine="57"/>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、谈判报价的计价方法及依据</w:t>
      </w:r>
    </w:p>
    <w:p>
      <w:pPr>
        <w:spacing w:line="360" w:lineRule="auto"/>
        <w:rPr>
          <w:rFonts w:ascii="宋体"/>
          <w:color w:val="auto"/>
          <w:sz w:val="24"/>
          <w:szCs w:val="24"/>
        </w:rPr>
      </w:pPr>
      <w:bookmarkStart w:id="11" w:name="_Toc10717"/>
      <w:bookmarkStart w:id="12" w:name="_Toc901"/>
      <w:r>
        <w:rPr>
          <w:rFonts w:hint="eastAsia" w:ascii="宋体" w:hAnsi="宋体" w:cs="宋体"/>
          <w:color w:val="auto"/>
          <w:sz w:val="24"/>
          <w:szCs w:val="24"/>
        </w:rPr>
        <w:t>谈判报价应包括谈判文件所确定的招标范围内的全部内容，以及为完成上述内容所必须的一切税费；供应商应按照采购内容，并结合供应商管理水平进行报价，按《报价一览表》确定的格式报出总价。谈判总价中不得包含谈判文件要求以外的内容，否则，在评审时不予核减。谈判总价中也不得缺漏谈判文件所要求的内容。否则，其提交的谈判响应文件将被视为无效响应文件。</w:t>
      </w:r>
      <w:bookmarkEnd w:id="11"/>
      <w:bookmarkEnd w:id="12"/>
    </w:p>
    <w:p>
      <w:pPr>
        <w:spacing w:line="360" w:lineRule="auto"/>
        <w:ind w:firstLine="57"/>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、谈判报价方式</w:t>
      </w:r>
    </w:p>
    <w:p>
      <w:pPr>
        <w:keepNext w:val="0"/>
        <w:keepLines w:val="0"/>
        <w:pageBreakBefore w:val="0"/>
        <w:widowControl w:val="0"/>
        <w:kinsoku/>
        <w:wordWrap/>
        <w:overflowPunct/>
        <w:topLinePunct w:val="0"/>
        <w:autoSpaceDE/>
        <w:autoSpaceDN/>
        <w:bidi w:val="0"/>
        <w:adjustRightInd/>
        <w:spacing w:line="360" w:lineRule="auto"/>
        <w:ind w:firstLine="57"/>
        <w:textAlignment w:val="auto"/>
        <w:rPr>
          <w:rFonts w:hint="eastAsia"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谈判报价只允许有一个报价，任何有选择性的报价或者有附加条件的报价采购人将不予接受，供应商须知前附表允许递交备选方案的除外。</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供应商在报价时，不能仅进行磋商报价优惠（或降价、让利），供应商对采购人的任何优惠（或降价、让利）均应反映在相应投标分项报价表的单价（总价）中。低于成本报价的投标将被拒绝。</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color w:val="auto"/>
          <w:lang w:val="en-US" w:eastAsia="zh-CN"/>
        </w:rPr>
      </w:pPr>
      <w:r>
        <w:rPr>
          <w:rFonts w:hint="eastAsia" w:ascii="宋体" w:hAnsi="宋体" w:cs="宋体"/>
          <w:color w:val="auto"/>
          <w:sz w:val="24"/>
          <w:szCs w:val="24"/>
          <w:lang w:val="en-US" w:eastAsia="zh-CN"/>
        </w:rPr>
        <w:t xml:space="preserve">   除供应商须知前附表另有规定外，供应商所报的价格在合同执行过程中固定不变,不得以任何理由予以变更。任何包含价格调整要求的投标将被判为无效响应文件。</w:t>
      </w:r>
    </w:p>
    <w:p>
      <w:pPr>
        <w:spacing w:line="360" w:lineRule="auto"/>
        <w:ind w:firstLine="795" w:firstLineChars="220"/>
        <w:jc w:val="center"/>
        <w:rPr>
          <w:rFonts w:ascii="宋体"/>
          <w:color w:val="auto"/>
          <w:sz w:val="36"/>
          <w:szCs w:val="36"/>
        </w:rPr>
      </w:pPr>
      <w:r>
        <w:rPr>
          <w:rFonts w:hint="eastAsia" w:ascii="宋体" w:hAnsi="宋体" w:cs="宋体"/>
          <w:b/>
          <w:bCs/>
          <w:color w:val="auto"/>
          <w:sz w:val="36"/>
          <w:szCs w:val="36"/>
        </w:rPr>
        <w:t>四、谈判响应文件</w:t>
      </w:r>
    </w:p>
    <w:p>
      <w:pPr>
        <w:spacing w:line="360" w:lineRule="auto"/>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、供应商应认真审查谈判文件是否齐全，同时应阅读谈判文件所有的内容，按照谈判文件的要求编制</w:t>
      </w:r>
      <w:bookmarkStart w:id="13" w:name="OLE_LINK26"/>
      <w:r>
        <w:rPr>
          <w:rFonts w:hint="eastAsia" w:ascii="宋体" w:hAnsi="宋体" w:cs="宋体"/>
          <w:color w:val="auto"/>
          <w:sz w:val="24"/>
          <w:szCs w:val="24"/>
        </w:rPr>
        <w:t>谈判响应</w:t>
      </w:r>
      <w:bookmarkEnd w:id="13"/>
      <w:r>
        <w:rPr>
          <w:rFonts w:hint="eastAsia" w:ascii="宋体" w:hAnsi="宋体" w:cs="宋体"/>
          <w:color w:val="auto"/>
          <w:sz w:val="24"/>
          <w:szCs w:val="24"/>
        </w:rPr>
        <w:t>文件。谈判响应文件应当对谈判文件提出的要求和条件作出实质性响应。</w:t>
      </w:r>
    </w:p>
    <w:p>
      <w:pPr>
        <w:spacing w:line="360" w:lineRule="auto"/>
        <w:rPr>
          <w:rFonts w:ascii="宋体"/>
          <w:b/>
          <w:bCs/>
          <w:color w:val="auto"/>
          <w:sz w:val="24"/>
          <w:szCs w:val="24"/>
        </w:rPr>
      </w:pPr>
      <w:r>
        <w:rPr>
          <w:rFonts w:ascii="宋体" w:hAnsi="宋体" w:cs="宋体"/>
          <w:color w:val="auto"/>
          <w:sz w:val="24"/>
          <w:szCs w:val="24"/>
        </w:rPr>
        <w:t>10</w:t>
      </w:r>
      <w:r>
        <w:rPr>
          <w:rFonts w:hint="eastAsia" w:ascii="宋体" w:hAnsi="宋体" w:cs="宋体"/>
          <w:color w:val="auto"/>
          <w:sz w:val="24"/>
          <w:szCs w:val="24"/>
        </w:rPr>
        <w:t>、谈判响应文件的组成应包括下列主要内容</w:t>
      </w:r>
      <w:r>
        <w:rPr>
          <w:rFonts w:hint="eastAsia" w:ascii="宋体" w:hAnsi="宋体" w:cs="宋体"/>
          <w:b/>
          <w:bCs/>
          <w:color w:val="auto"/>
          <w:sz w:val="24"/>
          <w:szCs w:val="24"/>
        </w:rPr>
        <w:t>：</w:t>
      </w:r>
    </w:p>
    <w:p>
      <w:pPr>
        <w:spacing w:line="360" w:lineRule="auto"/>
        <w:rPr>
          <w:rFonts w:ascii="宋体"/>
          <w:color w:val="auto"/>
          <w:sz w:val="24"/>
          <w:szCs w:val="24"/>
        </w:rPr>
      </w:pPr>
      <w:r>
        <w:rPr>
          <w:rFonts w:ascii="宋体" w:hAnsi="宋体" w:cs="宋体"/>
          <w:color w:val="auto"/>
          <w:sz w:val="24"/>
          <w:szCs w:val="24"/>
        </w:rPr>
        <w:t>10.1</w:t>
      </w:r>
      <w:r>
        <w:rPr>
          <w:rFonts w:hint="eastAsia" w:ascii="宋体" w:hAnsi="宋体" w:cs="宋体"/>
          <w:color w:val="auto"/>
          <w:sz w:val="24"/>
          <w:szCs w:val="24"/>
        </w:rPr>
        <w:t>资格符合性审查：</w:t>
      </w:r>
    </w:p>
    <w:p>
      <w:pPr>
        <w:numPr>
          <w:ilvl w:val="0"/>
          <w:numId w:val="1"/>
        </w:numPr>
        <w:spacing w:line="360" w:lineRule="auto"/>
        <w:rPr>
          <w:rFonts w:ascii="宋体"/>
          <w:color w:val="auto"/>
          <w:sz w:val="24"/>
          <w:szCs w:val="24"/>
        </w:rPr>
      </w:pPr>
      <w:r>
        <w:rPr>
          <w:rFonts w:hint="eastAsia" w:ascii="宋体" w:hAnsi="宋体" w:cs="宋体"/>
          <w:color w:val="auto"/>
          <w:sz w:val="24"/>
          <w:szCs w:val="24"/>
        </w:rPr>
        <w:t>谈判响应文件格式、内容</w:t>
      </w:r>
    </w:p>
    <w:p>
      <w:pPr>
        <w:numPr>
          <w:ilvl w:val="0"/>
          <w:numId w:val="1"/>
        </w:numPr>
        <w:spacing w:line="360" w:lineRule="auto"/>
        <w:rPr>
          <w:rFonts w:ascii="宋体"/>
          <w:color w:val="auto"/>
          <w:sz w:val="24"/>
          <w:szCs w:val="24"/>
        </w:rPr>
      </w:pPr>
      <w:r>
        <w:rPr>
          <w:rFonts w:hint="eastAsia" w:ascii="宋体" w:hAnsi="宋体" w:cs="宋体"/>
          <w:color w:val="auto"/>
          <w:sz w:val="24"/>
          <w:szCs w:val="24"/>
        </w:rPr>
        <w:t>法定代表人身份证明和法定代表人授权委托书；</w:t>
      </w:r>
    </w:p>
    <w:p>
      <w:pPr>
        <w:numPr>
          <w:ilvl w:val="0"/>
          <w:numId w:val="1"/>
        </w:numPr>
        <w:spacing w:line="360" w:lineRule="auto"/>
        <w:rPr>
          <w:rFonts w:ascii="宋体"/>
          <w:color w:val="auto"/>
          <w:sz w:val="24"/>
          <w:szCs w:val="24"/>
        </w:rPr>
      </w:pPr>
      <w:r>
        <w:rPr>
          <w:rFonts w:hint="eastAsia" w:ascii="宋体" w:hAnsi="宋体" w:cs="宋体"/>
          <w:color w:val="auto"/>
          <w:sz w:val="24"/>
          <w:szCs w:val="24"/>
        </w:rPr>
        <w:t>营业执照、税务登记证、组织机构代码证（如有三证合一不需单独提供组织机构代码证、税务登记证）或事业单位法人证书、银行开户许可证；</w:t>
      </w:r>
    </w:p>
    <w:p>
      <w:pPr>
        <w:pStyle w:val="22"/>
        <w:spacing w:line="360" w:lineRule="auto"/>
        <w:ind w:firstLine="0" w:firstLineChars="0"/>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w:t>
      </w:r>
      <w:bookmarkStart w:id="14" w:name="OLE_LINK28"/>
      <w:r>
        <w:rPr>
          <w:rFonts w:hint="eastAsia" w:ascii="宋体" w:hAnsi="宋体" w:cs="宋体"/>
          <w:color w:val="auto"/>
          <w:kern w:val="0"/>
          <w:sz w:val="24"/>
          <w:szCs w:val="24"/>
          <w:lang w:val="zh-CN"/>
        </w:rPr>
        <w:t>列入失信惩戒对象、失信被执行人名单的单位和个人不允许参加投标，投标人应当自行通过</w:t>
      </w:r>
      <w:r>
        <w:rPr>
          <w:rFonts w:hint="eastAsia" w:ascii="宋体" w:hAnsi="宋体" w:cs="宋体"/>
          <w:color w:val="auto"/>
          <w:kern w:val="0"/>
          <w:sz w:val="24"/>
          <w:szCs w:val="24"/>
          <w:lang w:val="zh-CN"/>
        </w:rPr>
        <w:fldChar w:fldCharType="begin"/>
      </w:r>
      <w:r>
        <w:rPr>
          <w:rFonts w:hint="eastAsia" w:ascii="宋体" w:hAnsi="宋体" w:cs="宋体"/>
          <w:color w:val="auto"/>
          <w:kern w:val="0"/>
          <w:sz w:val="24"/>
          <w:szCs w:val="24"/>
          <w:lang w:val="zh-CN"/>
        </w:rPr>
        <w:instrText xml:space="preserve"> HYPERLINK "https://www.creditchina.gov.cn/" </w:instrText>
      </w:r>
      <w:r>
        <w:rPr>
          <w:rFonts w:hint="eastAsia" w:ascii="宋体" w:hAnsi="宋体" w:cs="宋体"/>
          <w:color w:val="auto"/>
          <w:kern w:val="0"/>
          <w:sz w:val="24"/>
          <w:szCs w:val="24"/>
          <w:lang w:val="zh-CN"/>
        </w:rPr>
        <w:fldChar w:fldCharType="separate"/>
      </w:r>
      <w:r>
        <w:rPr>
          <w:rFonts w:hint="eastAsia" w:ascii="宋体" w:hAnsi="宋体" w:cs="宋体"/>
          <w:color w:val="auto"/>
          <w:kern w:val="0"/>
          <w:sz w:val="24"/>
          <w:szCs w:val="24"/>
          <w:lang w:val="zh-CN"/>
        </w:rPr>
        <w:t>信用中国 (creditchina.gov.cn)</w:t>
      </w:r>
      <w:r>
        <w:rPr>
          <w:rFonts w:hint="eastAsia" w:ascii="宋体" w:hAnsi="宋体" w:cs="宋体"/>
          <w:color w:val="auto"/>
          <w:kern w:val="0"/>
          <w:sz w:val="24"/>
          <w:szCs w:val="24"/>
          <w:lang w:val="zh-CN"/>
        </w:rPr>
        <w:fldChar w:fldCharType="end"/>
      </w:r>
      <w:r>
        <w:rPr>
          <w:rFonts w:hint="eastAsia" w:ascii="宋体" w:hAnsi="宋体" w:cs="宋体"/>
          <w:color w:val="auto"/>
          <w:kern w:val="0"/>
          <w:sz w:val="24"/>
          <w:szCs w:val="24"/>
          <w:lang w:val="zh-CN"/>
        </w:rPr>
        <w:t>、信用服务版块、个人信用版块查询失信惩戒对象名单、失信被执行人名单查询单位和个人（查询对象：供应商、供应商法定代表人、授权委托人，并提供相关查询记录和查询结果</w:t>
      </w:r>
      <w:r>
        <w:rPr>
          <w:rFonts w:hint="eastAsia" w:ascii="宋体" w:hAnsi="宋体" w:cs="宋体"/>
          <w:color w:val="auto"/>
          <w:kern w:val="0"/>
          <w:sz w:val="24"/>
          <w:szCs w:val="24"/>
        </w:rPr>
        <w:t>）；</w:t>
      </w:r>
    </w:p>
    <w:p>
      <w:pPr>
        <w:pStyle w:val="22"/>
        <w:spacing w:line="360" w:lineRule="auto"/>
        <w:ind w:firstLine="0" w:firstLineChars="0"/>
        <w:rPr>
          <w:rFonts w:ascii="宋体"/>
          <w:color w:val="auto"/>
          <w:sz w:val="24"/>
          <w:szCs w:val="24"/>
        </w:rPr>
      </w:pPr>
      <w:r>
        <w:rPr>
          <w:rFonts w:ascii="宋体" w:hAnsi="宋体" w:cs="宋体"/>
          <w:color w:val="auto"/>
          <w:sz w:val="24"/>
          <w:szCs w:val="24"/>
        </w:rPr>
        <w:t>10.</w:t>
      </w:r>
      <w:bookmarkEnd w:id="14"/>
      <w:r>
        <w:rPr>
          <w:rFonts w:ascii="宋体" w:hAnsi="宋体" w:cs="宋体"/>
          <w:color w:val="auto"/>
          <w:sz w:val="24"/>
          <w:szCs w:val="24"/>
        </w:rPr>
        <w:t>2</w:t>
      </w:r>
      <w:r>
        <w:rPr>
          <w:rFonts w:hint="eastAsia" w:ascii="宋体" w:hAnsi="宋体" w:cs="宋体"/>
          <w:color w:val="auto"/>
          <w:sz w:val="24"/>
          <w:szCs w:val="24"/>
        </w:rPr>
        <w:t>技术部分</w:t>
      </w:r>
    </w:p>
    <w:p>
      <w:pPr>
        <w:pStyle w:val="22"/>
        <w:spacing w:line="360" w:lineRule="auto"/>
        <w:ind w:firstLine="0" w:firstLineChars="0"/>
        <w:rPr>
          <w:rFonts w:hint="default" w:ascii="宋体" w:eastAsia="宋体"/>
          <w:color w:val="auto"/>
          <w:sz w:val="24"/>
          <w:szCs w:val="24"/>
          <w:lang w:val="en-US" w:eastAsia="zh-CN"/>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val="en-US" w:eastAsia="zh-CN"/>
        </w:rPr>
        <w:t>技术方案</w:t>
      </w:r>
    </w:p>
    <w:p>
      <w:pPr>
        <w:pStyle w:val="22"/>
        <w:spacing w:line="360" w:lineRule="auto"/>
        <w:ind w:firstLine="0" w:firstLineChars="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sz w:val="24"/>
          <w:szCs w:val="24"/>
          <w:lang w:val="en-US" w:eastAsia="zh-CN"/>
        </w:rPr>
        <w:t>实施</w:t>
      </w:r>
      <w:r>
        <w:rPr>
          <w:rFonts w:hint="eastAsia" w:ascii="宋体" w:hAnsi="宋体" w:cs="宋体"/>
          <w:color w:val="auto"/>
          <w:sz w:val="24"/>
          <w:szCs w:val="24"/>
        </w:rPr>
        <w:t>措施及服务承诺</w:t>
      </w:r>
    </w:p>
    <w:p>
      <w:pPr>
        <w:spacing w:line="360" w:lineRule="auto"/>
        <w:rPr>
          <w:rFonts w:ascii="宋体"/>
          <w:color w:val="auto"/>
          <w:sz w:val="24"/>
          <w:szCs w:val="24"/>
        </w:rPr>
      </w:pPr>
      <w:r>
        <w:rPr>
          <w:rFonts w:ascii="宋体" w:hAnsi="宋体" w:cs="宋体"/>
          <w:color w:val="auto"/>
          <w:sz w:val="24"/>
          <w:szCs w:val="24"/>
        </w:rPr>
        <w:t>10.3</w:t>
      </w:r>
      <w:r>
        <w:rPr>
          <w:rFonts w:hint="eastAsia" w:ascii="宋体" w:hAnsi="宋体" w:cs="宋体"/>
          <w:color w:val="auto"/>
          <w:sz w:val="24"/>
          <w:szCs w:val="24"/>
        </w:rPr>
        <w:t>综合部分</w:t>
      </w:r>
    </w:p>
    <w:p>
      <w:pPr>
        <w:pStyle w:val="22"/>
        <w:numPr>
          <w:ilvl w:val="0"/>
          <w:numId w:val="2"/>
        </w:numPr>
        <w:spacing w:line="360" w:lineRule="auto"/>
        <w:ind w:firstLine="0" w:firstLineChars="0"/>
        <w:rPr>
          <w:rFonts w:ascii="宋体"/>
          <w:color w:val="auto"/>
          <w:sz w:val="24"/>
          <w:szCs w:val="24"/>
        </w:rPr>
      </w:pPr>
      <w:r>
        <w:rPr>
          <w:rFonts w:hint="eastAsia" w:ascii="宋体" w:hAnsi="宋体" w:cs="宋体"/>
          <w:color w:val="auto"/>
          <w:sz w:val="24"/>
          <w:szCs w:val="24"/>
        </w:rPr>
        <w:t>类似业绩</w:t>
      </w:r>
    </w:p>
    <w:p>
      <w:pPr>
        <w:pStyle w:val="22"/>
        <w:numPr>
          <w:ilvl w:val="0"/>
          <w:numId w:val="2"/>
        </w:numPr>
        <w:spacing w:line="360" w:lineRule="auto"/>
        <w:ind w:firstLine="0" w:firstLineChars="0"/>
        <w:rPr>
          <w:rFonts w:ascii="宋体"/>
          <w:color w:val="auto"/>
          <w:sz w:val="24"/>
          <w:szCs w:val="24"/>
        </w:rPr>
      </w:pPr>
      <w:r>
        <w:rPr>
          <w:rFonts w:hint="eastAsia" w:ascii="宋体" w:hAnsi="宋体" w:cs="宋体"/>
          <w:color w:val="auto"/>
          <w:sz w:val="24"/>
          <w:szCs w:val="24"/>
        </w:rPr>
        <w:t>社会责任</w:t>
      </w:r>
    </w:p>
    <w:p>
      <w:pPr>
        <w:spacing w:line="360" w:lineRule="auto"/>
        <w:ind w:left="417" w:leftChars="27" w:hanging="360" w:hangingChars="150"/>
        <w:rPr>
          <w:rFonts w:ascii="宋体"/>
          <w:color w:val="auto"/>
          <w:sz w:val="24"/>
          <w:szCs w:val="24"/>
        </w:rPr>
      </w:pPr>
      <w:r>
        <w:rPr>
          <w:rFonts w:ascii="宋体" w:hAnsi="宋体" w:cs="宋体"/>
          <w:color w:val="auto"/>
          <w:sz w:val="24"/>
          <w:szCs w:val="24"/>
        </w:rPr>
        <w:t>10.4</w:t>
      </w:r>
      <w:r>
        <w:rPr>
          <w:rFonts w:hint="eastAsia" w:ascii="宋体" w:hAnsi="宋体" w:cs="宋体"/>
          <w:color w:val="auto"/>
          <w:sz w:val="24"/>
          <w:szCs w:val="24"/>
        </w:rPr>
        <w:t>报价一览表</w:t>
      </w:r>
    </w:p>
    <w:p>
      <w:pPr>
        <w:spacing w:line="360" w:lineRule="auto"/>
        <w:ind w:firstLine="360" w:firstLineChars="150"/>
        <w:rPr>
          <w:rFonts w:ascii="宋体"/>
          <w:color w:val="auto"/>
          <w:sz w:val="24"/>
          <w:szCs w:val="24"/>
        </w:rPr>
      </w:pPr>
      <w:r>
        <w:rPr>
          <w:rFonts w:hint="eastAsia" w:ascii="宋体" w:hAnsi="宋体" w:cs="宋体"/>
          <w:color w:val="auto"/>
          <w:sz w:val="24"/>
          <w:szCs w:val="24"/>
        </w:rPr>
        <w:t>《报价一览表》表内填写的数据等内容须与供应商的谈判响应文件的内容相一致。</w:t>
      </w:r>
    </w:p>
    <w:p>
      <w:pPr>
        <w:spacing w:line="360" w:lineRule="auto"/>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、供应商提交的谈判响应文件必须使用本谈判文件所提供的谈判响应文件表式，表式可以按同样格式进行扩展。</w:t>
      </w:r>
    </w:p>
    <w:p>
      <w:pPr>
        <w:spacing w:line="360" w:lineRule="auto"/>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、谈判响应文件的书写与装订</w:t>
      </w:r>
    </w:p>
    <w:p>
      <w:pPr>
        <w:pStyle w:val="9"/>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响应文件应用不褪色的材料书写或打印，并由供应商的法定代表人或其委托代理人签字或盖章和（或）盖单位章。委托代理人签字的，响应文件应附法定代表人签署的授权委托书。响应文件应尽量避免涂改、行间插字或删除。如果出现上述情况，改动之处应加盖单位章或由供应商的法定代表人或其授权的代理人签字确认。第</w:t>
      </w:r>
      <w:r>
        <w:rPr>
          <w:rFonts w:hint="eastAsia" w:ascii="宋体" w:hAnsi="宋体" w:cs="宋体"/>
          <w:color w:val="auto"/>
          <w:kern w:val="2"/>
          <w:sz w:val="24"/>
          <w:szCs w:val="24"/>
          <w:lang w:val="en-US" w:eastAsia="zh-CN" w:bidi="ar-SA"/>
        </w:rPr>
        <w:t>六</w:t>
      </w:r>
      <w:r>
        <w:rPr>
          <w:rFonts w:hint="eastAsia" w:ascii="宋体" w:hAnsi="宋体" w:eastAsia="宋体" w:cs="宋体"/>
          <w:color w:val="auto"/>
          <w:kern w:val="2"/>
          <w:sz w:val="24"/>
          <w:szCs w:val="24"/>
          <w:lang w:val="en-US" w:eastAsia="zh-CN" w:bidi="ar-SA"/>
        </w:rPr>
        <w:t>章“响应文件格式”要求供应商签字或盖章和（或）盖单位章的地方，供应商应当签字或盖章和（或）盖单位章。签字和（或）盖单位章的具体要求见供应商须知前附表。</w:t>
      </w:r>
    </w:p>
    <w:p>
      <w:pPr>
        <w:pStyle w:val="9"/>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宋体" w:hAnsi="宋体" w:eastAsia="宋体" w:cs="宋体"/>
          <w:color w:val="auto"/>
          <w:kern w:val="2"/>
          <w:sz w:val="24"/>
          <w:szCs w:val="24"/>
          <w:lang w:val="en-US" w:eastAsia="zh-CN" w:bidi="ar-SA"/>
        </w:rPr>
      </w:pPr>
    </w:p>
    <w:p>
      <w:pPr>
        <w:spacing w:line="360" w:lineRule="auto"/>
        <w:ind w:firstLine="57"/>
        <w:rPr>
          <w:rFonts w:ascii="宋体"/>
          <w:color w:val="auto"/>
          <w:sz w:val="24"/>
          <w:szCs w:val="24"/>
        </w:rPr>
      </w:pPr>
      <w:r>
        <w:rPr>
          <w:rFonts w:ascii="宋体" w:hAnsi="宋体" w:cs="宋体"/>
          <w:color w:val="auto"/>
          <w:sz w:val="24"/>
          <w:szCs w:val="24"/>
        </w:rPr>
        <w:t>13</w:t>
      </w:r>
      <w:r>
        <w:rPr>
          <w:rFonts w:hint="eastAsia" w:ascii="宋体" w:hAnsi="宋体" w:cs="宋体"/>
          <w:color w:val="auto"/>
          <w:sz w:val="24"/>
          <w:szCs w:val="24"/>
        </w:rPr>
        <w:t>、谈判有效期</w:t>
      </w:r>
    </w:p>
    <w:p>
      <w:pPr>
        <w:spacing w:line="360" w:lineRule="auto"/>
        <w:ind w:firstLine="528" w:firstLineChars="220"/>
        <w:rPr>
          <w:rFonts w:ascii="宋体"/>
          <w:color w:val="auto"/>
          <w:sz w:val="24"/>
          <w:szCs w:val="24"/>
        </w:rPr>
      </w:pPr>
      <w:r>
        <w:rPr>
          <w:rFonts w:hint="eastAsia" w:ascii="宋体" w:hAnsi="宋体" w:cs="宋体"/>
          <w:color w:val="auto"/>
          <w:sz w:val="24"/>
          <w:szCs w:val="24"/>
        </w:rPr>
        <w:t>谈判响应文件自提交谈判响应文件截止时间起至谈判须知规定的时间内有效。</w:t>
      </w:r>
    </w:p>
    <w:p>
      <w:pPr>
        <w:spacing w:line="360" w:lineRule="auto"/>
        <w:rPr>
          <w:rFonts w:ascii="宋体"/>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五、谈判响应文件密封和递交</w:t>
      </w:r>
    </w:p>
    <w:p>
      <w:pPr>
        <w:spacing w:line="360" w:lineRule="auto"/>
        <w:ind w:left="-4" w:leftChars="-2"/>
        <w:rPr>
          <w:rFonts w:ascii="宋体"/>
          <w:color w:val="auto"/>
          <w:sz w:val="24"/>
          <w:szCs w:val="24"/>
        </w:rPr>
      </w:pPr>
      <w:r>
        <w:rPr>
          <w:rFonts w:ascii="宋体" w:hAnsi="宋体" w:cs="宋体"/>
          <w:color w:val="auto"/>
          <w:sz w:val="24"/>
          <w:szCs w:val="24"/>
        </w:rPr>
        <w:t>14</w:t>
      </w:r>
      <w:r>
        <w:rPr>
          <w:rFonts w:hint="eastAsia" w:ascii="宋体" w:hAnsi="宋体" w:cs="宋体"/>
          <w:color w:val="auto"/>
          <w:sz w:val="24"/>
          <w:szCs w:val="24"/>
        </w:rPr>
        <w:t>、谈判响应文件的密封</w:t>
      </w:r>
      <w:r>
        <w:rPr>
          <w:rFonts w:ascii="宋体" w:hAnsi="宋体" w:cs="宋体"/>
          <w:color w:val="auto"/>
          <w:sz w:val="24"/>
          <w:szCs w:val="24"/>
        </w:rPr>
        <w:t>:</w:t>
      </w:r>
      <w:r>
        <w:rPr>
          <w:rFonts w:hint="eastAsia" w:ascii="宋体" w:hAnsi="宋体" w:cs="宋体"/>
          <w:color w:val="auto"/>
          <w:sz w:val="24"/>
          <w:szCs w:val="24"/>
        </w:rPr>
        <w:t>响应文件的正本与副本应分别装订成册并密封包装在一个封套内，并在封套密封骑缝处加盖供应商公章及法定代表人或其委托代理人印章或签字。</w:t>
      </w:r>
    </w:p>
    <w:p>
      <w:pPr>
        <w:spacing w:line="360" w:lineRule="auto"/>
        <w:rPr>
          <w:rFonts w:ascii="宋体"/>
          <w:color w:val="auto"/>
          <w:sz w:val="24"/>
          <w:szCs w:val="24"/>
        </w:rPr>
      </w:pPr>
      <w:r>
        <w:rPr>
          <w:rFonts w:ascii="宋体" w:hAnsi="宋体" w:cs="宋体"/>
          <w:color w:val="auto"/>
          <w:sz w:val="24"/>
          <w:szCs w:val="24"/>
        </w:rPr>
        <w:t>15</w:t>
      </w:r>
      <w:r>
        <w:rPr>
          <w:rFonts w:hint="eastAsia" w:ascii="宋体" w:hAnsi="宋体" w:cs="宋体"/>
          <w:color w:val="auto"/>
          <w:sz w:val="24"/>
          <w:szCs w:val="24"/>
        </w:rPr>
        <w:t>、提交谈判响应文件截止时间</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供应商须在谈判公告中规定的提交谈判响应文件截止时间前</w:t>
      </w:r>
      <w:r>
        <w:rPr>
          <w:rFonts w:hint="eastAsia" w:ascii="宋体" w:hAnsi="宋体" w:cs="宋体"/>
          <w:color w:val="auto"/>
          <w:sz w:val="24"/>
          <w:szCs w:val="24"/>
          <w:lang w:val="en-US" w:eastAsia="zh-CN"/>
        </w:rPr>
        <w:t>递交</w:t>
      </w:r>
      <w:r>
        <w:rPr>
          <w:rFonts w:hint="eastAsia" w:ascii="宋体" w:hAnsi="宋体" w:cs="宋体"/>
          <w:color w:val="auto"/>
          <w:sz w:val="24"/>
          <w:szCs w:val="24"/>
        </w:rPr>
        <w:t>谈判响应文件。</w:t>
      </w:r>
    </w:p>
    <w:p>
      <w:pPr>
        <w:spacing w:line="360" w:lineRule="auto"/>
        <w:ind w:firstLine="57"/>
        <w:rPr>
          <w:rFonts w:ascii="宋体"/>
          <w:color w:val="auto"/>
          <w:sz w:val="24"/>
          <w:szCs w:val="24"/>
        </w:rPr>
      </w:pPr>
      <w:r>
        <w:rPr>
          <w:rFonts w:ascii="宋体" w:hAnsi="宋体" w:cs="宋体"/>
          <w:color w:val="auto"/>
          <w:sz w:val="24"/>
          <w:szCs w:val="24"/>
        </w:rPr>
        <w:t>16</w:t>
      </w:r>
      <w:r>
        <w:rPr>
          <w:rFonts w:hint="eastAsia" w:ascii="宋体" w:hAnsi="宋体" w:cs="宋体"/>
          <w:color w:val="auto"/>
          <w:sz w:val="24"/>
          <w:szCs w:val="24"/>
        </w:rPr>
        <w:t>、谈判响应文件的修改与撤回</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在谈判公告中规定的提交谈判响应文件截止时间前，供应商可以补充、修改或者撤回已提交的谈判响应文件。补充、修改的内容作为谈判响应文件的组成部分，应当按本谈判文件的规定进行编制、密封、标识（在包封上标明“修改”或“撤回”</w:t>
      </w:r>
      <w:r>
        <w:rPr>
          <w:rFonts w:ascii="宋体" w:hAnsi="宋体" w:cs="宋体"/>
          <w:color w:val="auto"/>
          <w:sz w:val="24"/>
          <w:szCs w:val="24"/>
        </w:rPr>
        <w:t xml:space="preserve"> </w:t>
      </w:r>
      <w:r>
        <w:rPr>
          <w:rFonts w:hint="eastAsia" w:ascii="宋体" w:hAnsi="宋体" w:cs="宋体"/>
          <w:color w:val="auto"/>
          <w:sz w:val="24"/>
          <w:szCs w:val="24"/>
        </w:rPr>
        <w:t>字样，并注明修改或撤回的时间）和送达、签收、保管。</w:t>
      </w:r>
    </w:p>
    <w:p>
      <w:pPr>
        <w:spacing w:line="360" w:lineRule="auto"/>
        <w:ind w:firstLine="57"/>
        <w:rPr>
          <w:rFonts w:ascii="宋体"/>
          <w:color w:val="auto"/>
          <w:sz w:val="24"/>
          <w:szCs w:val="24"/>
        </w:rPr>
      </w:pPr>
    </w:p>
    <w:p>
      <w:pPr>
        <w:spacing w:line="360" w:lineRule="auto"/>
        <w:ind w:firstLine="2425" w:firstLineChars="671"/>
        <w:rPr>
          <w:rFonts w:ascii="宋体"/>
          <w:b/>
          <w:bCs/>
          <w:color w:val="auto"/>
          <w:sz w:val="36"/>
          <w:szCs w:val="36"/>
        </w:rPr>
      </w:pPr>
      <w:r>
        <w:rPr>
          <w:rFonts w:hint="eastAsia" w:ascii="宋体" w:hAnsi="宋体" w:cs="宋体"/>
          <w:b/>
          <w:bCs/>
          <w:color w:val="auto"/>
          <w:sz w:val="36"/>
          <w:szCs w:val="36"/>
        </w:rPr>
        <w:t>六、谈判</w:t>
      </w:r>
    </w:p>
    <w:p>
      <w:pPr>
        <w:spacing w:line="360" w:lineRule="auto"/>
        <w:ind w:firstLine="57"/>
        <w:rPr>
          <w:rFonts w:ascii="宋体"/>
          <w:color w:val="auto"/>
          <w:sz w:val="24"/>
          <w:szCs w:val="24"/>
          <w:u w:val="single"/>
        </w:rPr>
      </w:pPr>
      <w:r>
        <w:rPr>
          <w:rFonts w:ascii="宋体" w:hAnsi="宋体" w:cs="宋体"/>
          <w:color w:val="auto"/>
          <w:sz w:val="24"/>
          <w:szCs w:val="24"/>
        </w:rPr>
        <w:t>17</w:t>
      </w:r>
      <w:r>
        <w:rPr>
          <w:rFonts w:hint="eastAsia" w:ascii="宋体" w:hAnsi="宋体" w:cs="宋体"/>
          <w:color w:val="auto"/>
          <w:sz w:val="24"/>
          <w:szCs w:val="24"/>
        </w:rPr>
        <w:t>、评审办法：综合评分法</w:t>
      </w:r>
    </w:p>
    <w:p>
      <w:pPr>
        <w:spacing w:line="360" w:lineRule="auto"/>
        <w:ind w:firstLine="57"/>
        <w:rPr>
          <w:rFonts w:ascii="宋体"/>
          <w:color w:val="auto"/>
          <w:sz w:val="24"/>
          <w:szCs w:val="24"/>
          <w:u w:val="single"/>
        </w:rPr>
      </w:pPr>
      <w:r>
        <w:rPr>
          <w:rFonts w:ascii="宋体" w:hAnsi="宋体" w:cs="宋体"/>
          <w:color w:val="auto"/>
          <w:sz w:val="24"/>
          <w:szCs w:val="24"/>
        </w:rPr>
        <w:t xml:space="preserve">  </w:t>
      </w:r>
      <w:r>
        <w:rPr>
          <w:rFonts w:hint="eastAsia" w:ascii="宋体" w:hAnsi="宋体" w:cs="宋体"/>
          <w:color w:val="auto"/>
          <w:sz w:val="24"/>
          <w:szCs w:val="24"/>
        </w:rPr>
        <w:t>评审方法、步骤及标准：详见第四章</w:t>
      </w:r>
    </w:p>
    <w:p>
      <w:pPr>
        <w:spacing w:line="360" w:lineRule="auto"/>
        <w:ind w:firstLine="57"/>
        <w:rPr>
          <w:rFonts w:ascii="宋体"/>
          <w:color w:val="auto"/>
          <w:sz w:val="24"/>
          <w:szCs w:val="24"/>
        </w:rPr>
      </w:pPr>
      <w:r>
        <w:rPr>
          <w:rFonts w:ascii="宋体" w:hAnsi="宋体" w:cs="宋体"/>
          <w:color w:val="auto"/>
          <w:sz w:val="24"/>
          <w:szCs w:val="24"/>
        </w:rPr>
        <w:t>18</w:t>
      </w:r>
      <w:r>
        <w:rPr>
          <w:rFonts w:hint="eastAsia" w:ascii="宋体" w:hAnsi="宋体" w:cs="宋体"/>
          <w:color w:val="auto"/>
          <w:sz w:val="24"/>
          <w:szCs w:val="24"/>
        </w:rPr>
        <w:t>、当谈判响应文件出现下列情形之一的，</w:t>
      </w:r>
      <w:r>
        <w:rPr>
          <w:rFonts w:hint="eastAsia" w:ascii="宋体" w:hAnsi="宋体" w:cs="宋体"/>
          <w:color w:val="auto"/>
          <w:kern w:val="0"/>
          <w:sz w:val="24"/>
          <w:szCs w:val="24"/>
        </w:rPr>
        <w:t>谈判响应文件将被视为无效响应文件</w:t>
      </w:r>
      <w:r>
        <w:rPr>
          <w:rFonts w:hint="eastAsia" w:ascii="宋体" w:hAnsi="宋体" w:cs="宋体"/>
          <w:color w:val="auto"/>
          <w:sz w:val="24"/>
          <w:szCs w:val="24"/>
        </w:rPr>
        <w:t>：</w:t>
      </w:r>
    </w:p>
    <w:p>
      <w:pPr>
        <w:spacing w:line="360" w:lineRule="auto"/>
        <w:ind w:firstLine="57"/>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）谈判响应文件未按规定的格式填写，内容不全或关键内容字迹模糊、无法辨认的；</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）供应商报价超出采购预算价的或经谈判小组认定低于成本而不能保证采购需求的；</w:t>
      </w:r>
    </w:p>
    <w:p>
      <w:pPr>
        <w:spacing w:line="360" w:lineRule="auto"/>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）经举报、查实以伪造、变造的资格证明文件的</w:t>
      </w:r>
      <w:r>
        <w:rPr>
          <w:rFonts w:hint="eastAsia" w:ascii="宋体" w:hAnsi="宋体" w:cs="宋体"/>
          <w:b/>
          <w:bCs/>
          <w:color w:val="auto"/>
          <w:sz w:val="24"/>
          <w:szCs w:val="24"/>
        </w:rPr>
        <w:t>。</w:t>
      </w:r>
    </w:p>
    <w:p>
      <w:pPr>
        <w:spacing w:line="360" w:lineRule="auto"/>
        <w:ind w:firstLine="57"/>
        <w:rPr>
          <w:rFonts w:ascii="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、谈判响应文件的澄清</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在评审过程中，谈判小组认为需要，可以用书面形式要求供应商对谈判响应文件中含义不明确、对同类问题表述不一致或者有明显文字和计算错误的内容，进行澄清或提供补充说明及有关资料，供应商应在评审结束前用书面形式进行澄清或者说明，其澄清或者说明不得超出谈判文件的范围或者变更谈判报价、交货期、自报质量等级等实质性内容。</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谈判响应文件中的大写金额和小写金额不一致的，以大写金额为准，总价金额与单价金额不一致的以单价金额为准，但单价金额小数点有明显错误的除外。</w:t>
      </w:r>
    </w:p>
    <w:p>
      <w:pPr>
        <w:spacing w:line="360" w:lineRule="auto"/>
        <w:ind w:firstLine="57"/>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书面答复须经供应商法定代表人或其委托代理人签字或加盖印鉴，签字或加盖印鉴的书面答复将视为谈判响应文件的组成部分。提交谈判响应文件截止时间后，供应商对谈判报价或其他实质性内容修正的函件和增加的任何优惠条件，一律不得作为评审、确定成交供应商的依据。</w:t>
      </w:r>
    </w:p>
    <w:p>
      <w:pPr>
        <w:pStyle w:val="9"/>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0</w:t>
      </w:r>
      <w:r>
        <w:rPr>
          <w:rFonts w:hint="eastAsia" w:ascii="宋体" w:hAnsi="宋体" w:cs="宋体"/>
          <w:color w:val="auto"/>
          <w:sz w:val="24"/>
          <w:szCs w:val="24"/>
        </w:rPr>
        <w:t>、在谈判响应文件的审查、澄清、评价和比较以及合同过程中供应商对采购人、谈判小组成员施加影响的任何行为，都将导致取消其成交资格。</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hint="eastAsia" w:ascii="宋体" w:hAnsi="宋体" w:cs="宋体"/>
          <w:color w:val="auto"/>
          <w:sz w:val="24"/>
          <w:szCs w:val="24"/>
        </w:rPr>
        <w:t>、谈判：</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ascii="宋体" w:hAnsi="宋体" w:cs="宋体"/>
          <w:color w:val="auto"/>
          <w:sz w:val="24"/>
          <w:szCs w:val="24"/>
        </w:rPr>
        <w:t>.1</w:t>
      </w:r>
      <w:r>
        <w:rPr>
          <w:rFonts w:hint="eastAsia" w:ascii="宋体" w:hAnsi="宋体" w:cs="宋体"/>
          <w:color w:val="auto"/>
          <w:sz w:val="24"/>
          <w:szCs w:val="24"/>
        </w:rPr>
        <w:t>在谈判过程中，谈判小组可以根据谈判文件和谈判情况实质性变动采购需求中的技术、服务要求以及合同草案条款，但不得变动谈判文件中的其他内容。对谈判文件作出的实质性变动是谈判文件的有效组成部分，谈判小组应当及时以书面形式同时通知所有参加谈判的供应商。供应商应当按照谈判文件的变动情况和谈判小组的要求重新提交响应文件，并由其法定代表人或授权代表签字或者加盖公章。</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ascii="宋体" w:hAnsi="宋体" w:cs="宋体"/>
          <w:color w:val="auto"/>
          <w:sz w:val="24"/>
          <w:szCs w:val="24"/>
        </w:rPr>
        <w:t>.2</w:t>
      </w:r>
      <w:r>
        <w:rPr>
          <w:rFonts w:hint="eastAsia" w:ascii="宋体" w:hAnsi="宋体" w:cs="宋体"/>
          <w:color w:val="auto"/>
          <w:sz w:val="24"/>
          <w:szCs w:val="24"/>
        </w:rPr>
        <w:t>谈判文件能够详细列明采购标的的技术、服务要求的，谈判结束后，谈判小组将要求所有实质性响应的供应商在规定时间内提交最后报价。最后报价是供应商响应文件的有效组成部分。</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ascii="宋体" w:hAnsi="宋体" w:cs="宋体"/>
          <w:color w:val="auto"/>
          <w:sz w:val="24"/>
          <w:szCs w:val="24"/>
        </w:rPr>
        <w:t>.3</w:t>
      </w:r>
      <w:r>
        <w:rPr>
          <w:rFonts w:hint="eastAsia" w:ascii="宋体" w:hAnsi="宋体" w:cs="宋体"/>
          <w:color w:val="auto"/>
          <w:sz w:val="24"/>
          <w:szCs w:val="24"/>
        </w:rPr>
        <w:t>经谈判确定最终采购需求和提交最后报价的供应商后，由谈判小组采用综合评分法对提交最后报价的供应商的响应文件和最后报价进行综合评分。综合评分法，是指响应文件满足谈判文件全部实质性要求且按评审因素的量化指标评审得分最高的供应商为成交候选供应商的评审方法。因此，最低的报价不是中标的唯一理由。谈判报价最低的供应商有不成交的可能。对未成交的原因，采购人不予解释。</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ascii="宋体" w:hAnsi="宋体" w:cs="宋体"/>
          <w:color w:val="auto"/>
          <w:sz w:val="24"/>
          <w:szCs w:val="24"/>
        </w:rPr>
        <w:t>.4</w:t>
      </w:r>
      <w:r>
        <w:rPr>
          <w:rFonts w:hint="eastAsia" w:ascii="宋体" w:hAnsi="宋体" w:cs="宋体"/>
          <w:color w:val="auto"/>
          <w:sz w:val="24"/>
          <w:szCs w:val="24"/>
        </w:rPr>
        <w:t>评审时，谈判小组各成员独立对每个有效响应的文件进行评价、打分，然后汇总各个供应商每项评分因素的得分。</w:t>
      </w:r>
    </w:p>
    <w:p>
      <w:pPr>
        <w:spacing w:line="360" w:lineRule="auto"/>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lang w:val="en-US" w:eastAsia="zh-CN"/>
        </w:rPr>
        <w:t>1</w:t>
      </w:r>
      <w:r>
        <w:rPr>
          <w:rFonts w:ascii="宋体" w:hAnsi="宋体" w:cs="宋体"/>
          <w:color w:val="auto"/>
          <w:sz w:val="24"/>
          <w:szCs w:val="24"/>
        </w:rPr>
        <w:t>.5</w:t>
      </w:r>
      <w:r>
        <w:rPr>
          <w:rFonts w:hint="eastAsia" w:ascii="宋体" w:hAnsi="宋体" w:cs="宋体"/>
          <w:color w:val="auto"/>
          <w:sz w:val="24"/>
          <w:szCs w:val="24"/>
        </w:rPr>
        <w:t>谈判小组应当根据综合评分情况，按照评审得分由高到低顺序推荐</w:t>
      </w:r>
      <w:r>
        <w:rPr>
          <w:rFonts w:ascii="宋体" w:hAnsi="宋体" w:cs="宋体"/>
          <w:color w:val="auto"/>
          <w:sz w:val="24"/>
          <w:szCs w:val="24"/>
        </w:rPr>
        <w:t>3</w:t>
      </w:r>
      <w:r>
        <w:rPr>
          <w:rFonts w:hint="eastAsia" w:ascii="宋体" w:hAnsi="宋体" w:cs="宋体"/>
          <w:color w:val="auto"/>
          <w:sz w:val="24"/>
          <w:szCs w:val="24"/>
        </w:rPr>
        <w:t>名成交候选供应商，并编写评审报告。评审得分相同的，按照最后报价由低到高的顺序推荐。评审得分且最后报价相同的，按照技术指标优劣顺序推荐。</w:t>
      </w:r>
    </w:p>
    <w:p>
      <w:pPr>
        <w:pStyle w:val="21"/>
        <w:widowControl/>
        <w:spacing w:line="360" w:lineRule="auto"/>
        <w:rPr>
          <w:rFonts w:ascii="宋体"/>
          <w:color w:val="auto"/>
        </w:rPr>
      </w:pPr>
      <w:r>
        <w:rPr>
          <w:rFonts w:ascii="宋体" w:hAnsi="宋体" w:cs="宋体"/>
          <w:color w:val="auto"/>
        </w:rPr>
        <w:t>2</w:t>
      </w:r>
      <w:r>
        <w:rPr>
          <w:rFonts w:hint="eastAsia" w:ascii="宋体" w:hAnsi="宋体" w:cs="宋体"/>
          <w:color w:val="auto"/>
          <w:lang w:val="en-US" w:eastAsia="zh-CN"/>
        </w:rPr>
        <w:t>1</w:t>
      </w:r>
      <w:r>
        <w:rPr>
          <w:rFonts w:ascii="宋体" w:hAnsi="宋体" w:cs="宋体"/>
          <w:color w:val="auto"/>
        </w:rPr>
        <w:t>.6</w:t>
      </w:r>
      <w:r>
        <w:rPr>
          <w:rFonts w:hint="eastAsia" w:ascii="宋体" w:hAnsi="宋体" w:cs="宋体"/>
          <w:color w:val="auto"/>
          <w:kern w:val="2"/>
        </w:rPr>
        <w:t>出现下列情形之一的，采购人应当终止竞争性谈判采购活动，发布项目终止公告并说明原因，重新开展采购活动：</w:t>
      </w:r>
    </w:p>
    <w:p>
      <w:pPr>
        <w:pStyle w:val="21"/>
        <w:widowControl/>
        <w:spacing w:line="360" w:lineRule="auto"/>
        <w:rPr>
          <w:rFonts w:ascii="宋体"/>
          <w:color w:val="auto"/>
          <w:kern w:val="2"/>
        </w:rPr>
      </w:pPr>
      <w:r>
        <w:rPr>
          <w:rFonts w:hint="eastAsia" w:ascii="宋体" w:hAnsi="宋体" w:cs="宋体"/>
          <w:color w:val="auto"/>
          <w:kern w:val="2"/>
        </w:rPr>
        <w:t>　　（</w:t>
      </w:r>
      <w:r>
        <w:rPr>
          <w:rFonts w:ascii="宋体" w:hAnsi="宋体" w:cs="宋体"/>
          <w:color w:val="auto"/>
          <w:kern w:val="2"/>
        </w:rPr>
        <w:t>1</w:t>
      </w:r>
      <w:r>
        <w:rPr>
          <w:rFonts w:hint="eastAsia" w:ascii="宋体" w:hAnsi="宋体" w:cs="宋体"/>
          <w:color w:val="auto"/>
          <w:kern w:val="2"/>
        </w:rPr>
        <w:t>）因情况变化，不再符合规定的竞争性谈判采购方式适用情形的；</w:t>
      </w:r>
    </w:p>
    <w:p>
      <w:pPr>
        <w:pStyle w:val="21"/>
        <w:widowControl/>
        <w:spacing w:line="360" w:lineRule="auto"/>
        <w:rPr>
          <w:rFonts w:ascii="宋体"/>
          <w:color w:val="auto"/>
          <w:kern w:val="2"/>
        </w:rPr>
      </w:pPr>
      <w:r>
        <w:rPr>
          <w:rFonts w:hint="eastAsia" w:ascii="宋体" w:hAnsi="宋体" w:cs="宋体"/>
          <w:color w:val="auto"/>
          <w:kern w:val="2"/>
        </w:rPr>
        <w:t>　　（</w:t>
      </w:r>
      <w:r>
        <w:rPr>
          <w:rFonts w:ascii="宋体" w:hAnsi="宋体" w:cs="宋体"/>
          <w:color w:val="auto"/>
          <w:kern w:val="2"/>
        </w:rPr>
        <w:t>2</w:t>
      </w:r>
      <w:r>
        <w:rPr>
          <w:rFonts w:hint="eastAsia" w:ascii="宋体" w:hAnsi="宋体" w:cs="宋体"/>
          <w:color w:val="auto"/>
          <w:kern w:val="2"/>
        </w:rPr>
        <w:t>）出现影响采购公正的违法、违规行为的；</w:t>
      </w:r>
    </w:p>
    <w:p>
      <w:pPr>
        <w:pStyle w:val="21"/>
        <w:widowControl/>
        <w:spacing w:line="360" w:lineRule="auto"/>
        <w:rPr>
          <w:rFonts w:ascii="宋体"/>
          <w:color w:val="auto"/>
          <w:sz w:val="28"/>
          <w:szCs w:val="28"/>
        </w:rPr>
      </w:pPr>
      <w:r>
        <w:rPr>
          <w:rFonts w:hint="eastAsia" w:ascii="宋体" w:hAnsi="宋体" w:cs="宋体"/>
          <w:color w:val="auto"/>
          <w:kern w:val="2"/>
        </w:rPr>
        <w:t>　　（</w:t>
      </w:r>
      <w:r>
        <w:rPr>
          <w:rFonts w:ascii="宋体" w:hAnsi="宋体" w:cs="宋体"/>
          <w:color w:val="auto"/>
          <w:kern w:val="2"/>
        </w:rPr>
        <w:t>3</w:t>
      </w:r>
      <w:r>
        <w:rPr>
          <w:rFonts w:hint="eastAsia" w:ascii="宋体" w:hAnsi="宋体" w:cs="宋体"/>
          <w:color w:val="auto"/>
          <w:kern w:val="2"/>
        </w:rPr>
        <w:t>）除《政府采购竞争性谈判采购方式管理暂行办法》第二十一条第三款规定的情形外，在采购过程中符合要求的供应商或者报价未超过采购预算的供应商不足</w:t>
      </w:r>
      <w:r>
        <w:rPr>
          <w:rFonts w:ascii="宋体" w:hAnsi="宋体" w:cs="宋体"/>
          <w:color w:val="auto"/>
          <w:kern w:val="2"/>
        </w:rPr>
        <w:t>3</w:t>
      </w:r>
      <w:r>
        <w:rPr>
          <w:rFonts w:hint="eastAsia" w:ascii="宋体" w:hAnsi="宋体" w:cs="宋体"/>
          <w:color w:val="auto"/>
          <w:kern w:val="2"/>
        </w:rPr>
        <w:t>家的。</w:t>
      </w:r>
    </w:p>
    <w:p>
      <w:pPr>
        <w:spacing w:line="360" w:lineRule="auto"/>
        <w:rPr>
          <w:rFonts w:ascii="宋体"/>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七、授予合同</w:t>
      </w:r>
    </w:p>
    <w:p>
      <w:pPr>
        <w:autoSpaceDE w:val="0"/>
        <w:autoSpaceDN w:val="0"/>
        <w:adjustRightInd w:val="0"/>
        <w:snapToGrid w:val="0"/>
        <w:spacing w:line="360" w:lineRule="auto"/>
        <w:ind w:right="32"/>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、合同授予标准</w:t>
      </w:r>
    </w:p>
    <w:p>
      <w:pPr>
        <w:autoSpaceDE w:val="0"/>
        <w:autoSpaceDN w:val="0"/>
        <w:adjustRightInd w:val="0"/>
        <w:snapToGrid w:val="0"/>
        <w:spacing w:line="360" w:lineRule="auto"/>
        <w:ind w:right="34" w:firstLine="648" w:firstLineChars="270"/>
        <w:rPr>
          <w:rFonts w:ascii="宋体"/>
          <w:color w:val="auto"/>
          <w:kern w:val="0"/>
          <w:sz w:val="24"/>
          <w:szCs w:val="24"/>
        </w:rPr>
      </w:pPr>
      <w:r>
        <w:rPr>
          <w:rFonts w:hint="eastAsia" w:ascii="宋体" w:hAnsi="宋体" w:cs="宋体"/>
          <w:color w:val="auto"/>
          <w:kern w:val="0"/>
          <w:sz w:val="24"/>
          <w:szCs w:val="24"/>
        </w:rPr>
        <w:t>采购人将把合同授予被确定为实质上响应谈判文件的且排名第一的中成交候选人。</w:t>
      </w:r>
    </w:p>
    <w:p>
      <w:pPr>
        <w:adjustRightInd w:val="0"/>
        <w:snapToGrid w:val="0"/>
        <w:spacing w:line="360" w:lineRule="auto"/>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、签订合同</w:t>
      </w:r>
    </w:p>
    <w:p>
      <w:pPr>
        <w:pStyle w:val="21"/>
        <w:widowControl/>
        <w:spacing w:line="360" w:lineRule="auto"/>
        <w:ind w:firstLine="480"/>
        <w:rPr>
          <w:rFonts w:ascii="宋体"/>
          <w:color w:val="auto"/>
        </w:rPr>
      </w:pPr>
      <w:r>
        <w:rPr>
          <w:rFonts w:hint="eastAsia" w:ascii="宋体" w:hAnsi="宋体" w:cs="宋体"/>
          <w:color w:val="auto"/>
        </w:rPr>
        <w:t>采购人与成交供应商应当在成交通知书发出之日起</w:t>
      </w:r>
      <w:r>
        <w:rPr>
          <w:rFonts w:ascii="宋体" w:hAnsi="宋体" w:cs="宋体"/>
          <w:color w:val="auto"/>
        </w:rPr>
        <w:t>15</w:t>
      </w:r>
      <w:r>
        <w:rPr>
          <w:rFonts w:hint="eastAsia" w:ascii="宋体" w:hAnsi="宋体" w:cs="宋体"/>
          <w:color w:val="auto"/>
        </w:rPr>
        <w:t>日内，按照谈判文件确定的合同文本以及采购标的、规格型号、采购金额、采购数量、技术和服务要求等事项签订</w:t>
      </w:r>
      <w:r>
        <w:rPr>
          <w:color w:val="auto"/>
        </w:rPr>
        <w:fldChar w:fldCharType="begin"/>
      </w:r>
      <w:r>
        <w:rPr>
          <w:color w:val="auto"/>
        </w:rPr>
        <w:instrText xml:space="preserve"> HYPERLINK "http://cpro.baidu.com/cpro/ui/uijs.php?adclass=0&amp;app_id=0&amp;c=news&amp;cf=1001&amp;ch=0&amp;di=128&amp;fv=0&amp;is_app=0&amp;jk=5107fdb6226ca555&amp;k=%D5%FE%B8%AE%B2%C9%B9%BA&amp;k0=%D5%FE%B8%AE%B2%C9%B9%BA&amp;kdi0=0&amp;luki=9&amp;n=10&amp;p=baidu&amp;q=baidusiteerror_cpr&amp;rb=0&amp;rs=1&amp;seller_id=1&amp;sid=55a56c22b6fd0751&amp;ssp2=1&amp;stid=0&amp;t=tpclicked3_hc&amp;tu=u2105128&amp;u=http://www.kuaiji.com/fagui/2168360&amp;urlid=0" \t "http://www.kuaiji.com/fagui/_blank" </w:instrText>
      </w:r>
      <w:r>
        <w:rPr>
          <w:color w:val="auto"/>
        </w:rPr>
        <w:fldChar w:fldCharType="separate"/>
      </w:r>
      <w:r>
        <w:rPr>
          <w:rStyle w:val="35"/>
          <w:rFonts w:hint="eastAsia" w:ascii="宋体" w:hAnsi="宋体" w:cs="宋体"/>
          <w:color w:val="auto"/>
          <w:sz w:val="24"/>
          <w:szCs w:val="24"/>
        </w:rPr>
        <w:t>政府采购</w:t>
      </w:r>
      <w:r>
        <w:rPr>
          <w:rStyle w:val="35"/>
          <w:rFonts w:hint="eastAsia" w:ascii="宋体" w:hAnsi="宋体" w:cs="宋体"/>
          <w:color w:val="auto"/>
          <w:sz w:val="24"/>
          <w:szCs w:val="24"/>
        </w:rPr>
        <w:fldChar w:fldCharType="end"/>
      </w:r>
      <w:r>
        <w:rPr>
          <w:rFonts w:hint="eastAsia" w:ascii="宋体" w:hAnsi="宋体" w:cs="宋体"/>
          <w:color w:val="auto"/>
        </w:rPr>
        <w:t>合同。</w:t>
      </w:r>
    </w:p>
    <w:p>
      <w:pPr>
        <w:pStyle w:val="21"/>
        <w:widowControl/>
        <w:spacing w:line="360" w:lineRule="auto"/>
        <w:rPr>
          <w:rFonts w:ascii="宋体"/>
          <w:color w:val="auto"/>
        </w:rPr>
      </w:pPr>
      <w:r>
        <w:rPr>
          <w:rFonts w:hint="eastAsia" w:ascii="宋体" w:hAnsi="宋体" w:cs="宋体"/>
          <w:color w:val="auto"/>
        </w:rPr>
        <w:t>　　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22"/>
        <w:ind w:firstLine="300"/>
        <w:rPr>
          <w:rFonts w:ascii="宋体"/>
          <w:color w:val="auto"/>
        </w:rPr>
      </w:pPr>
      <w:bookmarkStart w:id="15" w:name="_Toc195"/>
    </w:p>
    <w:p>
      <w:pPr>
        <w:pStyle w:val="22"/>
        <w:ind w:firstLine="300"/>
        <w:rPr>
          <w:rFonts w:ascii="宋体"/>
          <w:color w:val="auto"/>
        </w:rPr>
      </w:pPr>
    </w:p>
    <w:p>
      <w:pPr>
        <w:pStyle w:val="3"/>
        <w:jc w:val="center"/>
        <w:rPr>
          <w:rFonts w:ascii="宋体"/>
          <w:color w:val="auto"/>
          <w:sz w:val="24"/>
          <w:szCs w:val="24"/>
        </w:rPr>
      </w:pPr>
      <w:bookmarkStart w:id="16" w:name="_Toc29073"/>
      <w:r>
        <w:rPr>
          <w:rFonts w:hint="eastAsia" w:ascii="宋体" w:hAnsi="宋体" w:cs="宋体"/>
          <w:color w:val="auto"/>
        </w:rPr>
        <w:t>第三章</w:t>
      </w:r>
      <w:r>
        <w:rPr>
          <w:rFonts w:ascii="宋体" w:hAnsi="宋体" w:cs="宋体"/>
          <w:color w:val="auto"/>
        </w:rPr>
        <w:t xml:space="preserve">  </w:t>
      </w:r>
      <w:r>
        <w:rPr>
          <w:rFonts w:hint="eastAsia" w:ascii="宋体" w:hAnsi="宋体" w:cs="宋体"/>
          <w:color w:val="auto"/>
        </w:rPr>
        <w:t>采购项目技术参数及要求</w:t>
      </w:r>
      <w:bookmarkEnd w:id="15"/>
      <w:bookmarkEnd w:id="16"/>
    </w:p>
    <w:p>
      <w:pPr>
        <w:keepNext w:val="0"/>
        <w:keepLines w:val="0"/>
        <w:pageBreakBefore w:val="0"/>
        <w:widowControl w:val="0"/>
        <w:kinsoku/>
        <w:wordWrap/>
        <w:overflowPunct/>
        <w:topLinePunct w:val="0"/>
        <w:autoSpaceDE/>
        <w:autoSpaceDN/>
        <w:bidi w:val="0"/>
        <w:adjustRightInd/>
        <w:spacing w:line="360" w:lineRule="auto"/>
        <w:ind w:left="1440" w:hanging="1440" w:hangingChars="600"/>
        <w:textAlignment w:val="auto"/>
        <w:rPr>
          <w:rFonts w:hint="eastAsia" w:ascii="宋体" w:hAnsi="宋体" w:eastAsia="宋体" w:cs="宋体"/>
          <w:color w:val="auto"/>
          <w:kern w:val="0"/>
          <w:sz w:val="24"/>
          <w:szCs w:val="24"/>
          <w:lang w:val="en-US" w:eastAsia="zh-CN" w:bidi="ar-SA"/>
        </w:rPr>
      </w:pPr>
      <w:bookmarkStart w:id="17" w:name="_Toc23873"/>
      <w:bookmarkStart w:id="18" w:name="_Toc25406"/>
      <w:r>
        <w:rPr>
          <w:rFonts w:hint="eastAsia" w:ascii="宋体" w:hAnsi="宋体" w:eastAsia="宋体" w:cs="宋体"/>
          <w:color w:val="auto"/>
          <w:kern w:val="0"/>
          <w:sz w:val="24"/>
          <w:szCs w:val="24"/>
          <w:lang w:val="en-US" w:eastAsia="zh-CN" w:bidi="ar-SA"/>
        </w:rPr>
        <w:t xml:space="preserve"> 项目名称：武汉钢铁有限公司五烧结节能</w:t>
      </w:r>
      <w:r>
        <w:rPr>
          <w:rFonts w:hint="eastAsia" w:ascii="宋体" w:hAnsi="宋体" w:cs="宋体"/>
          <w:color w:val="auto"/>
          <w:kern w:val="0"/>
          <w:sz w:val="24"/>
          <w:szCs w:val="24"/>
          <w:lang w:val="en-US" w:eastAsia="zh-CN" w:bidi="ar-SA"/>
        </w:rPr>
        <w:t>减碳</w:t>
      </w:r>
      <w:r>
        <w:rPr>
          <w:rFonts w:hint="eastAsia" w:ascii="宋体" w:hAnsi="宋体" w:eastAsia="宋体" w:cs="宋体"/>
          <w:color w:val="auto"/>
          <w:kern w:val="0"/>
          <w:sz w:val="24"/>
          <w:szCs w:val="24"/>
          <w:lang w:val="en-US" w:eastAsia="zh-CN" w:bidi="ar-SA"/>
        </w:rPr>
        <w:t>改造项目-申报2023年中央预算内投资计划节能减碳专项咨询服务</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采购项目地址：武汉钢铁有限公司</w:t>
      </w:r>
      <w:r>
        <w:rPr>
          <w:rFonts w:hint="eastAsia" w:ascii="宋体" w:hAnsi="宋体" w:cs="宋体"/>
          <w:color w:val="auto"/>
          <w:kern w:val="0"/>
          <w:sz w:val="24"/>
          <w:szCs w:val="24"/>
          <w:lang w:val="en-US" w:eastAsia="zh-CN" w:bidi="ar-SA"/>
        </w:rPr>
        <w:t>烧结厂内</w:t>
      </w:r>
    </w:p>
    <w:p>
      <w:pPr>
        <w:keepNext w:val="0"/>
        <w:keepLines w:val="0"/>
        <w:pageBreakBefore w:val="0"/>
        <w:widowControl w:val="0"/>
        <w:kinsoku/>
        <w:wordWrap/>
        <w:overflowPunct/>
        <w:topLinePunct w:val="0"/>
        <w:autoSpaceDE/>
        <w:autoSpaceDN/>
        <w:bidi w:val="0"/>
        <w:adjustRightInd/>
        <w:spacing w:line="360" w:lineRule="auto"/>
        <w:ind w:left="1200" w:hanging="1200" w:hangingChars="500"/>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采购范围：武汉钢铁有限公司五烧结节能</w:t>
      </w:r>
      <w:r>
        <w:rPr>
          <w:rFonts w:hint="eastAsia" w:ascii="宋体" w:hAnsi="宋体" w:cs="宋体"/>
          <w:color w:val="auto"/>
          <w:kern w:val="0"/>
          <w:sz w:val="24"/>
          <w:szCs w:val="24"/>
          <w:lang w:val="en-US" w:eastAsia="zh-CN" w:bidi="ar-SA"/>
        </w:rPr>
        <w:t>减碳</w:t>
      </w:r>
      <w:r>
        <w:rPr>
          <w:rFonts w:hint="eastAsia" w:ascii="宋体" w:hAnsi="宋体" w:eastAsia="宋体" w:cs="宋体"/>
          <w:color w:val="auto"/>
          <w:kern w:val="0"/>
          <w:sz w:val="24"/>
          <w:szCs w:val="24"/>
          <w:lang w:val="en-US" w:eastAsia="zh-CN" w:bidi="ar-SA"/>
        </w:rPr>
        <w:t>改造项目-申报2023年中央预算内投资计划节能减碳专项咨询服务</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采购预算：</w:t>
      </w:r>
      <w:r>
        <w:rPr>
          <w:rFonts w:hint="eastAsia" w:ascii="宋体" w:hAnsi="宋体" w:cs="宋体"/>
          <w:color w:val="auto"/>
          <w:kern w:val="0"/>
          <w:sz w:val="24"/>
          <w:szCs w:val="24"/>
          <w:lang w:val="en-US" w:eastAsia="zh-CN" w:bidi="ar-SA"/>
        </w:rPr>
        <w:t>185万元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150"/>
        <w:gridCol w:w="862"/>
        <w:gridCol w:w="486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品名</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单位</w:t>
            </w:r>
          </w:p>
        </w:tc>
        <w:tc>
          <w:tcPr>
            <w:tcW w:w="4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主要技术规格、参数及要求</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咨询服务</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4863" w:type="dxa"/>
            <w:vAlign w:val="center"/>
          </w:tcPr>
          <w:p>
            <w:pPr>
              <w:numPr>
                <w:ilvl w:val="0"/>
                <w:numId w:val="3"/>
              </w:num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对武钢五烧结厂</w:t>
            </w:r>
            <w:r>
              <w:rPr>
                <w:rFonts w:hint="eastAsia" w:ascii="宋体" w:hAnsi="宋体" w:cs="宋体"/>
                <w:color w:val="auto"/>
                <w:sz w:val="24"/>
                <w:highlight w:val="none"/>
                <w:lang w:val="en-US" w:eastAsia="zh-CN"/>
              </w:rPr>
              <w:t>节能减碳</w:t>
            </w:r>
            <w:r>
              <w:rPr>
                <w:rFonts w:hint="eastAsia" w:ascii="宋体" w:hAnsi="宋体" w:eastAsia="宋体" w:cs="宋体"/>
                <w:color w:val="auto"/>
                <w:sz w:val="24"/>
                <w:highlight w:val="none"/>
                <w:lang w:val="en-US" w:eastAsia="zh-CN"/>
              </w:rPr>
              <w:t>改造项目申报“2023年中央预算内投资计划</w:t>
            </w:r>
            <w:r>
              <w:rPr>
                <w:rFonts w:hint="eastAsia" w:ascii="宋体" w:hAnsi="宋体" w:eastAsia="宋体" w:cs="宋体"/>
                <w:color w:val="auto"/>
                <w:kern w:val="0"/>
                <w:sz w:val="24"/>
                <w:szCs w:val="24"/>
                <w:lang w:val="en-US" w:eastAsia="zh-CN" w:bidi="ar-SA"/>
              </w:rPr>
              <w:t>节能减碳</w:t>
            </w:r>
            <w:r>
              <w:rPr>
                <w:rFonts w:hint="eastAsia" w:ascii="宋体" w:hAnsi="宋体" w:eastAsia="宋体" w:cs="宋体"/>
                <w:color w:val="auto"/>
                <w:sz w:val="24"/>
                <w:highlight w:val="none"/>
                <w:lang w:val="en-US" w:eastAsia="zh-CN"/>
              </w:rPr>
              <w:t>专项项目”是否符合条件进行可行性论证</w:t>
            </w:r>
            <w:r>
              <w:rPr>
                <w:rFonts w:hint="eastAsia" w:ascii="宋体" w:hAnsi="宋体" w:cs="宋体"/>
                <w:color w:val="auto"/>
                <w:sz w:val="24"/>
                <w:highlight w:val="none"/>
                <w:lang w:val="en-US" w:eastAsia="zh-CN"/>
              </w:rPr>
              <w:t>，编制可行性研究报告，包括但不限于技术先进性、经济合理性、计算和评价等方面，并指出问题，提出改善建议及方案</w:t>
            </w:r>
            <w:r>
              <w:rPr>
                <w:rFonts w:hint="eastAsia" w:ascii="宋体" w:hAnsi="宋体" w:eastAsia="宋体" w:cs="宋体"/>
                <w:color w:val="auto"/>
                <w:sz w:val="24"/>
                <w:highlight w:val="none"/>
                <w:lang w:val="en-US" w:eastAsia="zh-CN"/>
              </w:rPr>
              <w:t>；</w:t>
            </w:r>
          </w:p>
          <w:p>
            <w:pPr>
              <w:numPr>
                <w:ilvl w:val="0"/>
                <w:numId w:val="3"/>
              </w:num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结合政策申报要求，撰写申报书或资金申请报告；</w:t>
            </w:r>
          </w:p>
          <w:p>
            <w:pPr>
              <w:rPr>
                <w:rFonts w:hint="default"/>
                <w:color w:val="auto"/>
                <w:lang w:val="en-US" w:eastAsia="zh-CN"/>
              </w:rPr>
            </w:pPr>
            <w:r>
              <w:rPr>
                <w:rFonts w:hint="eastAsia" w:ascii="宋体" w:hAnsi="宋体" w:eastAsia="宋体" w:cs="宋体"/>
                <w:color w:val="auto"/>
                <w:sz w:val="24"/>
                <w:highlight w:val="none"/>
                <w:lang w:val="en-US" w:eastAsia="zh-CN"/>
              </w:rPr>
              <w:t>3、全程</w:t>
            </w:r>
            <w:r>
              <w:rPr>
                <w:rFonts w:hint="eastAsia" w:ascii="宋体" w:hAnsi="宋体" w:cs="宋体"/>
                <w:color w:val="auto"/>
                <w:sz w:val="24"/>
                <w:highlight w:val="none"/>
                <w:lang w:val="en-US" w:eastAsia="zh-CN"/>
              </w:rPr>
              <w:t>组织</w:t>
            </w:r>
            <w:r>
              <w:rPr>
                <w:rFonts w:hint="eastAsia" w:ascii="宋体" w:hAnsi="宋体" w:eastAsia="宋体" w:cs="宋体"/>
                <w:color w:val="auto"/>
                <w:sz w:val="24"/>
                <w:highlight w:val="none"/>
                <w:lang w:val="en-US" w:eastAsia="zh-CN"/>
              </w:rPr>
              <w:t>申请和申报工作，包括资料提交，以及市、省、国家级发改委沟通及协调，力争协助</w:t>
            </w:r>
            <w:r>
              <w:rPr>
                <w:rFonts w:hint="eastAsia" w:ascii="宋体" w:hAnsi="宋体" w:cs="宋体"/>
                <w:color w:val="auto"/>
                <w:sz w:val="24"/>
                <w:highlight w:val="none"/>
                <w:lang w:val="en-US" w:eastAsia="zh-CN"/>
              </w:rPr>
              <w:t>武钢</w:t>
            </w:r>
            <w:r>
              <w:rPr>
                <w:rFonts w:hint="eastAsia" w:ascii="宋体" w:hAnsi="宋体" w:eastAsia="宋体" w:cs="宋体"/>
                <w:color w:val="auto"/>
                <w:sz w:val="24"/>
                <w:highlight w:val="none"/>
                <w:lang w:val="en-US" w:eastAsia="zh-CN"/>
              </w:rPr>
              <w:t>通过“2023年中央预算内投资计划</w:t>
            </w:r>
            <w:r>
              <w:rPr>
                <w:rFonts w:hint="eastAsia" w:ascii="宋体" w:hAnsi="宋体" w:eastAsia="宋体" w:cs="宋体"/>
                <w:color w:val="auto"/>
                <w:kern w:val="0"/>
                <w:sz w:val="24"/>
                <w:szCs w:val="24"/>
                <w:lang w:val="en-US" w:eastAsia="zh-CN" w:bidi="ar-SA"/>
              </w:rPr>
              <w:t>节能减碳</w:t>
            </w:r>
            <w:r>
              <w:rPr>
                <w:rFonts w:hint="eastAsia" w:ascii="宋体" w:hAnsi="宋体" w:eastAsia="宋体" w:cs="宋体"/>
                <w:color w:val="auto"/>
                <w:sz w:val="24"/>
                <w:highlight w:val="none"/>
                <w:lang w:val="en-US" w:eastAsia="zh-CN"/>
              </w:rPr>
              <w:t>专项项目”名单公示</w:t>
            </w:r>
            <w:r>
              <w:rPr>
                <w:rFonts w:hint="eastAsia" w:ascii="宋体" w:hAnsi="宋体" w:cs="宋体"/>
                <w:color w:val="auto"/>
                <w:sz w:val="24"/>
                <w:highlight w:val="none"/>
                <w:lang w:val="en-US" w:eastAsia="zh-CN"/>
              </w:rPr>
              <w:t>。</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r>
    </w:tbl>
    <w:p>
      <w:pPr>
        <w:rPr>
          <w:color w:val="auto"/>
        </w:rPr>
      </w:pPr>
    </w:p>
    <w:p>
      <w:pPr>
        <w:pStyle w:val="2"/>
        <w:rPr>
          <w:color w:val="auto"/>
        </w:rPr>
      </w:pPr>
    </w:p>
    <w:p>
      <w:pPr>
        <w:rPr>
          <w:color w:val="auto"/>
        </w:rPr>
      </w:pPr>
    </w:p>
    <w:p>
      <w:pPr>
        <w:rPr>
          <w:color w:val="auto"/>
        </w:rPr>
      </w:pPr>
    </w:p>
    <w:p>
      <w:pPr>
        <w:pStyle w:val="2"/>
        <w:rPr>
          <w:color w:val="auto"/>
        </w:rPr>
      </w:pPr>
    </w:p>
    <w:p>
      <w:pPr>
        <w:rPr>
          <w:color w:val="auto"/>
        </w:rPr>
      </w:pPr>
    </w:p>
    <w:p>
      <w:pPr>
        <w:pStyle w:val="22"/>
        <w:ind w:firstLine="442"/>
        <w:jc w:val="center"/>
        <w:outlineLvl w:val="0"/>
        <w:rPr>
          <w:rFonts w:ascii="宋体"/>
          <w:color w:val="auto"/>
        </w:rPr>
      </w:pPr>
      <w:r>
        <w:rPr>
          <w:rFonts w:hint="eastAsia" w:ascii="宋体" w:hAnsi="宋体" w:cs="宋体"/>
          <w:b/>
          <w:bCs/>
          <w:color w:val="auto"/>
          <w:sz w:val="44"/>
          <w:szCs w:val="44"/>
        </w:rPr>
        <w:t>第四章</w:t>
      </w:r>
      <w:r>
        <w:rPr>
          <w:rFonts w:ascii="宋体" w:hAnsi="宋体" w:cs="宋体"/>
          <w:b/>
          <w:bCs/>
          <w:color w:val="auto"/>
          <w:sz w:val="44"/>
          <w:szCs w:val="44"/>
        </w:rPr>
        <w:t xml:space="preserve">  </w:t>
      </w:r>
      <w:r>
        <w:rPr>
          <w:rFonts w:hint="eastAsia" w:ascii="宋体" w:hAnsi="宋体" w:cs="宋体"/>
          <w:b/>
          <w:bCs/>
          <w:color w:val="auto"/>
          <w:sz w:val="44"/>
          <w:szCs w:val="44"/>
        </w:rPr>
        <w:t>评审方法、步骤及标准</w:t>
      </w:r>
      <w:bookmarkEnd w:id="17"/>
      <w:bookmarkEnd w:id="18"/>
    </w:p>
    <w:p>
      <w:pPr>
        <w:pStyle w:val="7"/>
        <w:spacing w:line="360" w:lineRule="auto"/>
        <w:ind w:firstLine="360" w:firstLineChars="150"/>
        <w:rPr>
          <w:rFonts w:ascii="宋体"/>
          <w:color w:val="auto"/>
          <w:sz w:val="24"/>
          <w:szCs w:val="24"/>
        </w:rPr>
      </w:pPr>
      <w:r>
        <w:rPr>
          <w:rFonts w:hint="eastAsia" w:ascii="宋体" w:hAnsi="宋体" w:cs="宋体"/>
          <w:color w:val="auto"/>
          <w:sz w:val="24"/>
          <w:szCs w:val="24"/>
        </w:rPr>
        <w:t>根据国家规定相关法律法规确定以下评审方法、步骤及标准。</w:t>
      </w:r>
    </w:p>
    <w:p>
      <w:pPr>
        <w:pStyle w:val="21"/>
        <w:widowControl/>
        <w:numPr>
          <w:ilvl w:val="0"/>
          <w:numId w:val="4"/>
        </w:numPr>
        <w:spacing w:line="360" w:lineRule="auto"/>
        <w:rPr>
          <w:rFonts w:ascii="宋体"/>
          <w:color w:val="auto"/>
          <w:kern w:val="2"/>
        </w:rPr>
      </w:pPr>
      <w:r>
        <w:rPr>
          <w:rFonts w:hint="eastAsia" w:ascii="宋体" w:hAnsi="宋体" w:cs="宋体"/>
          <w:color w:val="auto"/>
          <w:kern w:val="2"/>
        </w:rPr>
        <w:t>谈判小组的组成</w:t>
      </w:r>
    </w:p>
    <w:p>
      <w:pPr>
        <w:pStyle w:val="21"/>
        <w:widowControl/>
        <w:spacing w:line="360" w:lineRule="auto"/>
        <w:rPr>
          <w:rFonts w:ascii="宋体"/>
          <w:color w:val="auto"/>
          <w:kern w:val="2"/>
        </w:rPr>
      </w:pPr>
      <w:r>
        <w:rPr>
          <w:rFonts w:ascii="宋体" w:hAnsi="宋体" w:cs="宋体"/>
          <w:color w:val="auto"/>
          <w:kern w:val="2"/>
        </w:rPr>
        <w:t xml:space="preserve">    </w:t>
      </w:r>
      <w:r>
        <w:rPr>
          <w:rFonts w:hint="eastAsia" w:ascii="宋体" w:hAnsi="宋体" w:cs="宋体"/>
          <w:color w:val="auto"/>
          <w:kern w:val="2"/>
        </w:rPr>
        <w:t>谈判小组由采购人代表和评审专家共</w:t>
      </w:r>
      <w:r>
        <w:rPr>
          <w:rFonts w:hint="eastAsia" w:ascii="宋体" w:hAnsi="宋体" w:cs="宋体"/>
          <w:color w:val="auto"/>
          <w:kern w:val="2"/>
          <w:lang w:val="en-US" w:eastAsia="zh-CN"/>
        </w:rPr>
        <w:t>5</w:t>
      </w:r>
      <w:bookmarkStart w:id="29" w:name="_GoBack"/>
      <w:bookmarkEnd w:id="29"/>
      <w:r>
        <w:rPr>
          <w:rFonts w:hint="eastAsia" w:ascii="宋体" w:hAnsi="宋体" w:cs="宋体"/>
          <w:color w:val="auto"/>
          <w:kern w:val="2"/>
        </w:rPr>
        <w:t>人以上单数组成，其中评审专家人数不得少于谈判小组成员总数的</w:t>
      </w:r>
      <w:r>
        <w:rPr>
          <w:rFonts w:ascii="宋体" w:hAnsi="宋体" w:cs="宋体"/>
          <w:color w:val="auto"/>
          <w:kern w:val="2"/>
        </w:rPr>
        <w:t>2/3</w:t>
      </w:r>
      <w:r>
        <w:rPr>
          <w:rFonts w:hint="eastAsia" w:ascii="宋体" w:hAnsi="宋体" w:cs="宋体"/>
          <w:color w:val="auto"/>
          <w:kern w:val="2"/>
        </w:rPr>
        <w:t>。采购人代表不得以评审专家身份参加本部门或本单位采购项目的评审。</w:t>
      </w:r>
    </w:p>
    <w:p>
      <w:pPr>
        <w:pStyle w:val="21"/>
        <w:widowControl/>
        <w:spacing w:line="360" w:lineRule="auto"/>
        <w:rPr>
          <w:rFonts w:ascii="宋体"/>
          <w:color w:val="auto"/>
          <w:kern w:val="2"/>
        </w:rPr>
      </w:pPr>
      <w:r>
        <w:rPr>
          <w:rFonts w:hint="eastAsia" w:ascii="宋体" w:hAnsi="宋体" w:cs="宋体"/>
          <w:color w:val="auto"/>
          <w:kern w:val="2"/>
        </w:rPr>
        <w:t>二、评审纪律</w:t>
      </w:r>
    </w:p>
    <w:p>
      <w:pPr>
        <w:pStyle w:val="21"/>
        <w:widowControl/>
        <w:spacing w:line="360" w:lineRule="auto"/>
        <w:rPr>
          <w:rFonts w:ascii="宋体"/>
          <w:color w:val="auto"/>
          <w:kern w:val="2"/>
        </w:rPr>
      </w:pPr>
      <w:r>
        <w:rPr>
          <w:rFonts w:ascii="宋体" w:hAnsi="宋体" w:cs="宋体"/>
          <w:color w:val="auto"/>
          <w:kern w:val="2"/>
        </w:rPr>
        <w:t xml:space="preserve">   1.</w:t>
      </w:r>
      <w:r>
        <w:rPr>
          <w:rFonts w:hint="eastAsia" w:ascii="宋体" w:hAnsi="宋体" w:cs="宋体"/>
          <w:color w:val="auto"/>
          <w:kern w:val="2"/>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财政、监察等部门举报。</w:t>
      </w:r>
    </w:p>
    <w:p>
      <w:pPr>
        <w:pStyle w:val="21"/>
        <w:widowControl/>
        <w:spacing w:line="360" w:lineRule="auto"/>
        <w:rPr>
          <w:rFonts w:ascii="宋体"/>
          <w:color w:val="auto"/>
          <w:kern w:val="2"/>
        </w:rPr>
      </w:pPr>
      <w:r>
        <w:rPr>
          <w:rFonts w:ascii="宋体" w:hAnsi="宋体" w:cs="宋体"/>
          <w:color w:val="auto"/>
          <w:kern w:val="2"/>
        </w:rPr>
        <w:t xml:space="preserve">   2.</w:t>
      </w:r>
      <w:r>
        <w:rPr>
          <w:rFonts w:hint="eastAsia" w:ascii="宋体" w:hAnsi="宋体" w:cs="宋体"/>
          <w:color w:val="auto"/>
          <w:kern w:val="2"/>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pStyle w:val="21"/>
        <w:widowControl/>
        <w:spacing w:line="360" w:lineRule="auto"/>
        <w:rPr>
          <w:rFonts w:ascii="宋体"/>
          <w:color w:val="auto"/>
          <w:kern w:val="2"/>
        </w:rPr>
      </w:pPr>
      <w:r>
        <w:rPr>
          <w:rFonts w:hint="eastAsia" w:ascii="宋体" w:hAnsi="宋体" w:cs="宋体"/>
          <w:color w:val="auto"/>
          <w:kern w:val="2"/>
        </w:rPr>
        <w:t>　　</w:t>
      </w:r>
      <w:r>
        <w:rPr>
          <w:rFonts w:ascii="宋体" w:hAnsi="宋体" w:cs="宋体"/>
          <w:color w:val="auto"/>
          <w:kern w:val="2"/>
        </w:rPr>
        <w:t>3</w:t>
      </w:r>
      <w:r>
        <w:rPr>
          <w:rFonts w:hint="eastAsia" w:ascii="宋体" w:hAnsi="宋体" w:cs="宋体"/>
          <w:color w:val="auto"/>
          <w:kern w:val="2"/>
        </w:rPr>
        <w:t>、谈判文件内容违反国家有关强制性规定的，谈判小组应当停止评审并向采购人说明情况。</w:t>
      </w:r>
    </w:p>
    <w:p>
      <w:pPr>
        <w:pStyle w:val="21"/>
        <w:widowControl/>
        <w:spacing w:line="360" w:lineRule="auto"/>
        <w:rPr>
          <w:rFonts w:ascii="宋体"/>
          <w:color w:val="auto"/>
          <w:kern w:val="2"/>
        </w:rPr>
      </w:pPr>
      <w:r>
        <w:rPr>
          <w:rFonts w:hint="eastAsia" w:ascii="宋体" w:hAnsi="宋体" w:cs="宋体"/>
          <w:color w:val="auto"/>
          <w:kern w:val="2"/>
        </w:rPr>
        <w:t>三、谈判步骤及评审方法</w:t>
      </w:r>
    </w:p>
    <w:p>
      <w:pPr>
        <w:pStyle w:val="7"/>
        <w:spacing w:line="360" w:lineRule="auto"/>
        <w:ind w:firstLine="0"/>
        <w:rPr>
          <w:rFonts w:ascii="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（一）、供应商资格符合性审查：谈判小组按符合性审查内容对供应商进行资格符合性审查；有一项没有响应审查要求的，其谈判响应文件将被否决。</w:t>
      </w:r>
    </w:p>
    <w:p>
      <w:pPr>
        <w:pStyle w:val="7"/>
        <w:spacing w:line="360" w:lineRule="auto"/>
        <w:ind w:firstLine="0"/>
        <w:rPr>
          <w:rFonts w:ascii="宋体"/>
          <w:color w:val="auto"/>
          <w:sz w:val="24"/>
          <w:szCs w:val="24"/>
        </w:rPr>
      </w:pPr>
      <w:r>
        <w:rPr>
          <w:rFonts w:hint="eastAsia" w:ascii="宋体" w:hAnsi="宋体" w:cs="宋体"/>
          <w:color w:val="auto"/>
          <w:sz w:val="24"/>
          <w:szCs w:val="24"/>
        </w:rPr>
        <w:t>符合性审查：</w:t>
      </w:r>
    </w:p>
    <w:tbl>
      <w:tblPr>
        <w:tblStyle w:val="24"/>
        <w:tblW w:w="8973"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05"/>
        <w:gridCol w:w="3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905"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审查因素</w:t>
            </w:r>
          </w:p>
        </w:tc>
        <w:tc>
          <w:tcPr>
            <w:tcW w:w="30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905"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法定代表人身份证明和法定代表人授权委托书；</w:t>
            </w:r>
          </w:p>
        </w:tc>
        <w:tc>
          <w:tcPr>
            <w:tcW w:w="30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hAnsi="宋体" w:eastAsia="宋体" w:cs="Times New Roman"/>
                <w:color w:val="auto"/>
                <w:sz w:val="24"/>
                <w:szCs w:val="24"/>
                <w:lang w:eastAsia="zh-CN"/>
              </w:rPr>
            </w:pPr>
            <w:r>
              <w:rPr>
                <w:rFonts w:hint="eastAsia" w:hAnsi="宋体"/>
                <w:color w:val="auto"/>
                <w:sz w:val="24"/>
                <w:szCs w:val="24"/>
              </w:rPr>
              <w:t>盖章</w:t>
            </w:r>
            <w:r>
              <w:rPr>
                <w:rFonts w:hint="eastAsia" w:hAnsi="宋体"/>
                <w:color w:val="auto"/>
                <w:sz w:val="24"/>
                <w:szCs w:val="24"/>
                <w:lang w:val="en-US" w:eastAsia="zh-CN"/>
              </w:rPr>
              <w:t>纸板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905"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营业执照、税务登记证、组织机构代码证（如有三证合一不需单独提供组织机构代码证、税务登记证）或事业单位法人证书；</w:t>
            </w:r>
          </w:p>
        </w:tc>
        <w:tc>
          <w:tcPr>
            <w:tcW w:w="30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盖章</w:t>
            </w:r>
            <w:r>
              <w:rPr>
                <w:rFonts w:hint="eastAsia" w:hAnsi="宋体"/>
                <w:color w:val="auto"/>
                <w:sz w:val="24"/>
                <w:szCs w:val="24"/>
                <w:lang w:val="en-US" w:eastAsia="zh-CN"/>
              </w:rPr>
              <w:t>纸板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5905"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hAnsi="宋体" w:eastAsia="宋体" w:cs="Times New Roman"/>
                <w:color w:val="auto"/>
                <w:sz w:val="24"/>
                <w:szCs w:val="24"/>
                <w:lang w:val="en-US" w:eastAsia="zh-CN"/>
              </w:rPr>
            </w:pPr>
            <w:r>
              <w:rPr>
                <w:rFonts w:hint="eastAsia" w:hAnsi="宋体"/>
                <w:color w:val="auto"/>
                <w:sz w:val="24"/>
                <w:szCs w:val="24"/>
              </w:rPr>
              <w:t>银行开户许可证</w:t>
            </w:r>
            <w:r>
              <w:rPr>
                <w:rFonts w:hint="eastAsia" w:hAnsi="宋体"/>
                <w:color w:val="auto"/>
                <w:sz w:val="24"/>
                <w:szCs w:val="24"/>
                <w:lang w:val="en-US" w:eastAsia="zh-CN"/>
              </w:rPr>
              <w:t>/基本存款账户信息</w:t>
            </w:r>
          </w:p>
        </w:tc>
        <w:tc>
          <w:tcPr>
            <w:tcW w:w="30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Ansi="宋体" w:cs="Times New Roman"/>
                <w:color w:val="auto"/>
                <w:sz w:val="24"/>
                <w:szCs w:val="24"/>
              </w:rPr>
            </w:pPr>
            <w:r>
              <w:rPr>
                <w:rFonts w:hint="eastAsia" w:hAnsi="宋体"/>
                <w:color w:val="auto"/>
                <w:sz w:val="24"/>
                <w:szCs w:val="24"/>
              </w:rPr>
              <w:t>盖章</w:t>
            </w:r>
            <w:r>
              <w:rPr>
                <w:rFonts w:hint="eastAsia" w:hAnsi="宋体"/>
                <w:color w:val="auto"/>
                <w:sz w:val="24"/>
                <w:szCs w:val="24"/>
                <w:lang w:val="en-US" w:eastAsia="zh-CN"/>
              </w:rPr>
              <w:t>纸板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trPr>
        <w:tc>
          <w:tcPr>
            <w:tcW w:w="5905" w:type="dxa"/>
            <w:vAlign w:val="center"/>
          </w:tcPr>
          <w:p>
            <w:pPr>
              <w:pStyle w:val="13"/>
              <w:adjustRightInd w:val="0"/>
              <w:snapToGrid w:val="0"/>
              <w:spacing w:line="360" w:lineRule="auto"/>
              <w:jc w:val="left"/>
              <w:rPr>
                <w:rFonts w:hAnsi="宋体" w:cs="Times New Roman"/>
                <w:color w:val="000000"/>
                <w:sz w:val="24"/>
                <w:szCs w:val="24"/>
              </w:rPr>
            </w:pPr>
            <w:r>
              <w:rPr>
                <w:rFonts w:hint="eastAsia" w:hAnsi="宋体"/>
                <w:color w:val="000000"/>
                <w:sz w:val="24"/>
                <w:szCs w:val="24"/>
              </w:rPr>
              <w:t>列入失信惩戒对象、失信被执行人名单</w:t>
            </w:r>
            <w:r>
              <w:fldChar w:fldCharType="begin"/>
            </w:r>
            <w:r>
              <w:instrText xml:space="preserve"> HYPERLINK "https://www.creditchina.gov.cn/" </w:instrText>
            </w:r>
            <w:r>
              <w:fldChar w:fldCharType="separate"/>
            </w:r>
            <w:r>
              <w:rPr>
                <w:rStyle w:val="35"/>
              </w:rPr>
              <w:t>信用中国 (creditchina.gov.cn)</w:t>
            </w:r>
            <w:r>
              <w:rPr>
                <w:rStyle w:val="35"/>
              </w:rPr>
              <w:fldChar w:fldCharType="end"/>
            </w:r>
            <w:r>
              <w:rPr>
                <w:rFonts w:hint="eastAsia" w:hAnsi="宋体"/>
                <w:color w:val="000000"/>
                <w:sz w:val="24"/>
                <w:szCs w:val="24"/>
              </w:rPr>
              <w:t>、信用服务版块、个人信用版块查询失信惩戒对象名单、失信被执行人名单查询单位和个人（查询对象：供应商、供应商法定代表人、授权委托人，并提供相关查询记录和查询结果）；</w:t>
            </w:r>
          </w:p>
        </w:tc>
        <w:tc>
          <w:tcPr>
            <w:tcW w:w="3068" w:type="dxa"/>
            <w:vAlign w:val="center"/>
          </w:tcPr>
          <w:p>
            <w:pPr>
              <w:pStyle w:val="13"/>
              <w:adjustRightInd w:val="0"/>
              <w:snapToGrid w:val="0"/>
              <w:spacing w:line="360" w:lineRule="auto"/>
              <w:jc w:val="center"/>
              <w:rPr>
                <w:rFonts w:hAnsi="宋体" w:cs="Times New Roman"/>
                <w:color w:val="000000"/>
                <w:sz w:val="24"/>
                <w:szCs w:val="24"/>
              </w:rPr>
            </w:pPr>
            <w:r>
              <w:rPr>
                <w:rFonts w:hint="eastAsia" w:hAnsi="宋体"/>
                <w:color w:val="000000"/>
                <w:sz w:val="24"/>
                <w:szCs w:val="24"/>
              </w:rPr>
              <w:t>提供加盖供应商公章的网上查询截图</w:t>
            </w:r>
          </w:p>
        </w:tc>
      </w:tr>
    </w:tbl>
    <w:p>
      <w:pPr>
        <w:pStyle w:val="21"/>
        <w:widowControl/>
        <w:spacing w:line="360" w:lineRule="auto"/>
        <w:rPr>
          <w:rFonts w:ascii="宋体"/>
          <w:color w:val="000000"/>
          <w:kern w:val="2"/>
        </w:rPr>
      </w:pPr>
      <w:r>
        <w:rPr>
          <w:rFonts w:hint="eastAsia" w:ascii="宋体" w:hAnsi="宋体" w:cs="宋体"/>
          <w:color w:val="000000"/>
          <w:kern w:val="2"/>
        </w:rPr>
        <w:t>（二）、谈判：</w:t>
      </w:r>
    </w:p>
    <w:p>
      <w:pPr>
        <w:pStyle w:val="21"/>
        <w:widowControl/>
        <w:spacing w:line="360" w:lineRule="auto"/>
        <w:ind w:firstLine="480"/>
        <w:rPr>
          <w:rFonts w:ascii="宋体"/>
          <w:color w:val="000000"/>
          <w:kern w:val="2"/>
        </w:rPr>
      </w:pPr>
      <w:r>
        <w:rPr>
          <w:rFonts w:ascii="宋体" w:hAnsi="宋体" w:cs="宋体"/>
          <w:color w:val="000000"/>
          <w:kern w:val="2"/>
        </w:rPr>
        <w:t>1</w:t>
      </w:r>
      <w:r>
        <w:rPr>
          <w:rFonts w:hint="eastAsia" w:ascii="宋体" w:hAnsi="宋体" w:cs="宋体"/>
          <w:color w:val="000000"/>
          <w:kern w:val="2"/>
        </w:rPr>
        <w:t>、谈判小组所有成员应当集中与资格符合性审查合格的单一供应商分别进行谈判，并给予所有参加谈判的供应商平等的谈判机会。</w:t>
      </w:r>
    </w:p>
    <w:p>
      <w:pPr>
        <w:pStyle w:val="21"/>
        <w:widowControl/>
        <w:spacing w:line="360" w:lineRule="auto"/>
        <w:rPr>
          <w:rFonts w:ascii="宋体"/>
          <w:color w:val="000000"/>
        </w:rPr>
      </w:pPr>
      <w:r>
        <w:rPr>
          <w:rFonts w:ascii="宋体" w:hAnsi="宋体" w:cs="宋体"/>
          <w:color w:val="000000"/>
        </w:rPr>
        <w:t xml:space="preserve">    2</w:t>
      </w:r>
      <w:r>
        <w:rPr>
          <w:rFonts w:hint="eastAsia" w:ascii="宋体" w:hAnsi="宋体" w:cs="宋体"/>
          <w:color w:val="000000"/>
        </w:rPr>
        <w:t>、在谈判过程中，谈判小组可以根据谈判文件和谈判情况实质性变动采购需求中的技术、服务要求以及</w:t>
      </w:r>
      <w:r>
        <w:fldChar w:fldCharType="begin"/>
      </w:r>
      <w:r>
        <w:instrText xml:space="preserve"> HYPERLINK "http://cpro.baidu.com/cpro/ui/uijs.php?adclass=0&amp;app_id=0&amp;c=news&amp;cf=1001&amp;ch=0&amp;di=128&amp;fv=0&amp;is_app=0&amp;jk=5107fdb6226ca555&amp;k=%BA%CF%CD%AC&amp;k0=%BA%CF%CD%AC&amp;kdi0=0&amp;luki=3&amp;n=10&amp;p=baidu&amp;q=baidusiteerror_cpr&amp;rb=0&amp;rs=1&amp;seller_id=1&amp;sid=55a56c22b6fd0751&amp;ssp2=1&amp;stid=0&amp;t=tpclicked3_hc&amp;tu=u2105128&amp;u=http://www.kuaiji.com/fagui/2168360&amp;urlid=0" \t "http://www.kuaiji.com/fagui/_blank" </w:instrText>
      </w:r>
      <w:r>
        <w:fldChar w:fldCharType="separate"/>
      </w:r>
      <w:r>
        <w:rPr>
          <w:rStyle w:val="35"/>
          <w:rFonts w:hint="eastAsia" w:ascii="宋体" w:hAnsi="宋体" w:cs="宋体"/>
          <w:color w:val="000000"/>
          <w:sz w:val="24"/>
          <w:szCs w:val="24"/>
        </w:rPr>
        <w:t>合同</w:t>
      </w:r>
      <w:r>
        <w:rPr>
          <w:rStyle w:val="35"/>
          <w:rFonts w:hint="eastAsia" w:ascii="宋体" w:hAnsi="宋体" w:cs="宋体"/>
          <w:color w:val="000000"/>
          <w:sz w:val="24"/>
          <w:szCs w:val="24"/>
        </w:rPr>
        <w:fldChar w:fldCharType="end"/>
      </w:r>
      <w:r>
        <w:rPr>
          <w:rFonts w:hint="eastAsia" w:ascii="宋体" w:hAnsi="宋体" w:cs="宋体"/>
          <w:color w:val="000000"/>
        </w:rPr>
        <w:t>草案条款，但不得变动谈判文件中的其他内容。实质性变动的内容，须经采购人代表确认。对谈判文件作出的实质性变动是谈判文件的有效组成部分，谈判小组应当及时以书面形式同时通知所有参加谈判的供应商。</w:t>
      </w:r>
    </w:p>
    <w:p>
      <w:pPr>
        <w:pStyle w:val="21"/>
        <w:widowControl/>
        <w:spacing w:line="360" w:lineRule="auto"/>
        <w:rPr>
          <w:rFonts w:ascii="宋体"/>
          <w:color w:val="000000"/>
        </w:rPr>
      </w:pPr>
      <w:r>
        <w:rPr>
          <w:rFonts w:hint="eastAsia" w:ascii="宋体" w:hAnsi="宋体" w:cs="宋体"/>
          <w:color w:val="000000"/>
        </w:rPr>
        <w:t>　　</w:t>
      </w:r>
      <w:r>
        <w:rPr>
          <w:rFonts w:ascii="宋体" w:hAnsi="宋体" w:cs="宋体"/>
          <w:color w:val="000000"/>
        </w:rPr>
        <w:t>3</w:t>
      </w:r>
      <w:r>
        <w:rPr>
          <w:rFonts w:hint="eastAsia" w:ascii="宋体" w:hAnsi="宋体" w:cs="宋体"/>
          <w:color w:val="000000"/>
        </w:rPr>
        <w:t>、供应商应当按照谈判文件的变动情况和谈判小组的要求重新提交响应文件，并由其法定代表人或授权代表</w:t>
      </w:r>
      <w:r>
        <w:fldChar w:fldCharType="begin"/>
      </w:r>
      <w:r>
        <w:instrText xml:space="preserve"> HYPERLINK "http://cpro.baidu.com/cpro/ui/uijs.php?adclass=0&amp;app_id=0&amp;c=news&amp;cf=1001&amp;ch=0&amp;di=128&amp;fv=0&amp;is_app=0&amp;jk=5107fdb6226ca555&amp;k=%C7%A9%D7%D6&amp;k0=%C7%A9%D7%D6&amp;kdi0=0&amp;luki=1&amp;n=10&amp;p=baidu&amp;q=baidusiteerror_cpr&amp;rb=0&amp;rs=1&amp;seller_id=1&amp;sid=55a56c22b6fd0751&amp;ssp2=1&amp;stid=0&amp;t=tpclicked3_hc&amp;tu=u2105128&amp;u=http://www.kuaiji.com/fagui/2168360&amp;urlid=0" \t "http://www.kuaiji.com/fagui/_blank" </w:instrText>
      </w:r>
      <w:r>
        <w:fldChar w:fldCharType="separate"/>
      </w:r>
      <w:r>
        <w:rPr>
          <w:rStyle w:val="35"/>
          <w:rFonts w:hint="eastAsia" w:ascii="宋体" w:hAnsi="宋体" w:cs="宋体"/>
          <w:color w:val="000000"/>
          <w:sz w:val="24"/>
          <w:szCs w:val="24"/>
        </w:rPr>
        <w:t>签字</w:t>
      </w:r>
      <w:r>
        <w:rPr>
          <w:rStyle w:val="35"/>
          <w:rFonts w:hint="eastAsia" w:ascii="宋体" w:hAnsi="宋体" w:cs="宋体"/>
          <w:color w:val="000000"/>
          <w:sz w:val="24"/>
          <w:szCs w:val="24"/>
        </w:rPr>
        <w:fldChar w:fldCharType="end"/>
      </w:r>
      <w:r>
        <w:rPr>
          <w:rFonts w:hint="eastAsia" w:ascii="宋体" w:hAnsi="宋体" w:cs="宋体"/>
          <w:color w:val="000000"/>
        </w:rPr>
        <w:t>或者加盖公章。由授权代表签字的，应当附法定代表人授权书。</w:t>
      </w:r>
      <w:r>
        <w:fldChar w:fldCharType="begin"/>
      </w:r>
      <w:r>
        <w:instrText xml:space="preserve"> HYPERLINK "http://cpro.baidu.com/cpro/ui/uijs.php?adclass=0&amp;app_id=0&amp;c=news&amp;cf=1001&amp;ch=0&amp;di=128&amp;fv=0&amp;is_app=0&amp;jk=5107fdb6226ca555&amp;k=%B9%A9%D3%A6%C9%CC&amp;k0=%B9%A9%D3%A6%C9%CC&amp;kdi0=0&amp;luki=7&amp;n=10&amp;p=baidu&amp;q=baidusiteerror_cpr&amp;rb=0&amp;rs=1&amp;seller_id=1&amp;sid=55a56c22b6fd0751&amp;ssp2=1&amp;stid=0&amp;t=tpclicked3_hc&amp;tu=u2105128&amp;u=http://www.kuaiji.com/fagui/2168360&amp;urlid=0" \t "http://www.kuaiji.com/fagui/_blank" </w:instrText>
      </w:r>
      <w:r>
        <w:fldChar w:fldCharType="separate"/>
      </w:r>
      <w:r>
        <w:rPr>
          <w:rStyle w:val="35"/>
          <w:rFonts w:hint="eastAsia" w:ascii="宋体" w:hAnsi="宋体" w:cs="宋体"/>
          <w:color w:val="000000"/>
          <w:sz w:val="24"/>
          <w:szCs w:val="24"/>
        </w:rPr>
        <w:t>供应商</w:t>
      </w:r>
      <w:r>
        <w:rPr>
          <w:rStyle w:val="35"/>
          <w:rFonts w:hint="eastAsia" w:ascii="宋体" w:hAnsi="宋体" w:cs="宋体"/>
          <w:color w:val="000000"/>
          <w:sz w:val="24"/>
          <w:szCs w:val="24"/>
        </w:rPr>
        <w:fldChar w:fldCharType="end"/>
      </w:r>
      <w:r>
        <w:rPr>
          <w:rFonts w:hint="eastAsia" w:ascii="宋体" w:hAnsi="宋体" w:cs="宋体"/>
          <w:color w:val="000000"/>
        </w:rPr>
        <w:t>为自然人的，应当由本人签字并附身份证明。</w:t>
      </w:r>
    </w:p>
    <w:p>
      <w:pPr>
        <w:pStyle w:val="21"/>
        <w:widowControl/>
        <w:spacing w:line="360" w:lineRule="auto"/>
        <w:rPr>
          <w:rFonts w:ascii="宋体"/>
          <w:color w:val="000000"/>
          <w:kern w:val="2"/>
        </w:rPr>
      </w:pPr>
      <w:r>
        <w:rPr>
          <w:rFonts w:ascii="宋体" w:hAnsi="宋体" w:cs="宋体"/>
          <w:color w:val="000000"/>
          <w:kern w:val="2"/>
        </w:rPr>
        <w:t xml:space="preserve">    4</w:t>
      </w:r>
      <w:r>
        <w:rPr>
          <w:rFonts w:hint="eastAsia" w:ascii="宋体" w:hAnsi="宋体" w:cs="宋体"/>
          <w:color w:val="000000"/>
          <w:kern w:val="2"/>
        </w:rPr>
        <w:t>、</w:t>
      </w:r>
      <w:r>
        <w:rPr>
          <w:rFonts w:ascii="宋体" w:hAnsi="宋体" w:cs="宋体"/>
          <w:color w:val="000000"/>
          <w:kern w:val="2"/>
        </w:rPr>
        <w:t xml:space="preserve"> </w:t>
      </w:r>
      <w:r>
        <w:rPr>
          <w:rFonts w:hint="eastAsia" w:ascii="宋体" w:hAnsi="宋体" w:cs="宋体"/>
          <w:color w:val="000000"/>
          <w:kern w:val="2"/>
        </w:rPr>
        <w:t>谈判结束后，谈判小组要求所有实质性响应的供应商在规定时间内提交最后报价，在规定时间内没有提交最后报价的供应商以第一次提交的报价为准，提交最后报价的供应商不得少于</w:t>
      </w:r>
      <w:r>
        <w:rPr>
          <w:rFonts w:ascii="宋体" w:hAnsi="宋体" w:cs="宋体"/>
          <w:color w:val="000000"/>
          <w:kern w:val="2"/>
        </w:rPr>
        <w:t>3</w:t>
      </w:r>
      <w:r>
        <w:rPr>
          <w:rFonts w:hint="eastAsia" w:ascii="宋体" w:hAnsi="宋体" w:cs="宋体"/>
          <w:color w:val="000000"/>
          <w:kern w:val="2"/>
        </w:rPr>
        <w:t>家。</w:t>
      </w:r>
    </w:p>
    <w:p>
      <w:pPr>
        <w:pStyle w:val="21"/>
        <w:widowControl/>
        <w:spacing w:line="360" w:lineRule="auto"/>
        <w:ind w:firstLine="480"/>
        <w:rPr>
          <w:rFonts w:ascii="宋体"/>
          <w:color w:val="000000"/>
          <w:kern w:val="2"/>
        </w:rPr>
      </w:pPr>
      <w:r>
        <w:rPr>
          <w:rFonts w:ascii="宋体" w:hAnsi="宋体" w:cs="宋体"/>
          <w:color w:val="000000"/>
          <w:kern w:val="2"/>
        </w:rPr>
        <w:t>5</w:t>
      </w:r>
      <w:r>
        <w:rPr>
          <w:rFonts w:hint="eastAsia" w:ascii="宋体" w:hAnsi="宋体" w:cs="宋体"/>
          <w:color w:val="000000"/>
          <w:kern w:val="2"/>
        </w:rPr>
        <w:t>、已提交响应文件的供应商，在提交最后报价之前，可以根据谈判情况退出谈判。</w:t>
      </w:r>
    </w:p>
    <w:p>
      <w:pPr>
        <w:pStyle w:val="21"/>
        <w:widowControl/>
        <w:spacing w:line="360" w:lineRule="auto"/>
        <w:rPr>
          <w:rFonts w:ascii="宋体"/>
          <w:color w:val="000000"/>
          <w:kern w:val="2"/>
        </w:rPr>
      </w:pPr>
      <w:r>
        <w:rPr>
          <w:rFonts w:ascii="宋体" w:hAnsi="宋体" w:cs="宋体"/>
          <w:color w:val="000000"/>
          <w:kern w:val="2"/>
        </w:rPr>
        <w:t xml:space="preserve">  </w:t>
      </w:r>
      <w:r>
        <w:rPr>
          <w:rFonts w:hint="eastAsia" w:ascii="宋体" w:hAnsi="宋体" w:cs="宋体"/>
          <w:color w:val="000000"/>
          <w:kern w:val="2"/>
        </w:rPr>
        <w:t>（三）公布所有实质性响应的供应商谈判报价。</w:t>
      </w:r>
    </w:p>
    <w:p>
      <w:pPr>
        <w:pStyle w:val="21"/>
        <w:widowControl/>
        <w:spacing w:line="360" w:lineRule="auto"/>
        <w:ind w:firstLine="480"/>
        <w:rPr>
          <w:rFonts w:ascii="宋体"/>
          <w:color w:val="000000"/>
          <w:kern w:val="2"/>
        </w:rPr>
      </w:pPr>
      <w:r>
        <w:rPr>
          <w:rFonts w:hint="eastAsia" w:ascii="宋体" w:hAnsi="宋体" w:cs="宋体"/>
          <w:color w:val="000000"/>
          <w:kern w:val="2"/>
        </w:rPr>
        <w:t>经谈判确定最终采购需求和提交最后报价的</w:t>
      </w:r>
      <w:r>
        <w:fldChar w:fldCharType="begin"/>
      </w:r>
      <w:r>
        <w:instrText xml:space="preserve"> HYPERLINK "http://cpro.baidu.com/cpro/ui/uijs.php?adclass=0&amp;app_id=0&amp;c=news&amp;cf=1001&amp;ch=0&amp;di=128&amp;fv=0&amp;is_app=0&amp;jk=5107fdb6226ca555&amp;k=%B9%A9%D3%A6%C9%CC&amp;k0=%B9%A9%D3%A6%C9%CC&amp;kdi0=0&amp;luki=7&amp;n=10&amp;p=baidu&amp;q=baidusiteerror_cpr&amp;rb=0&amp;rs=1&amp;seller_id=1&amp;sid=55a56c22b6fd0751&amp;ssp2=1&amp;stid=0&amp;t=tpclicked3_hc&amp;tu=u2105128&amp;u=http://www.kuaiji.com/fagui/2168360&amp;urlid=0" \t "http://www.kuaiji.com/fagui/_blank" </w:instrText>
      </w:r>
      <w:r>
        <w:fldChar w:fldCharType="separate"/>
      </w:r>
      <w:r>
        <w:rPr>
          <w:rFonts w:hint="eastAsia" w:ascii="宋体" w:hAnsi="宋体" w:cs="宋体"/>
          <w:color w:val="000000"/>
          <w:kern w:val="2"/>
        </w:rPr>
        <w:t>供应商</w:t>
      </w:r>
      <w:r>
        <w:rPr>
          <w:rFonts w:hint="eastAsia" w:ascii="宋体" w:hAnsi="宋体" w:cs="宋体"/>
          <w:color w:val="000000"/>
          <w:kern w:val="2"/>
        </w:rPr>
        <w:fldChar w:fldCharType="end"/>
      </w:r>
      <w:r>
        <w:rPr>
          <w:rFonts w:hint="eastAsia" w:ascii="宋体" w:hAnsi="宋体" w:cs="宋体"/>
          <w:color w:val="000000"/>
          <w:kern w:val="2"/>
        </w:rPr>
        <w:t>后，由谈判小组采用综合评分法对提交最后报价的供应商的响应文件和最后报价进行综合评分。</w:t>
      </w:r>
    </w:p>
    <w:p>
      <w:pPr>
        <w:pStyle w:val="21"/>
        <w:widowControl/>
        <w:spacing w:line="360" w:lineRule="auto"/>
        <w:rPr>
          <w:rFonts w:ascii="宋体"/>
          <w:color w:val="000000"/>
          <w:kern w:val="2"/>
        </w:rPr>
      </w:pPr>
      <w:r>
        <w:rPr>
          <w:rFonts w:ascii="宋体" w:hAnsi="宋体" w:cs="宋体"/>
          <w:color w:val="000000"/>
          <w:kern w:val="2"/>
        </w:rPr>
        <w:t xml:space="preserve">  </w:t>
      </w:r>
      <w:r>
        <w:rPr>
          <w:rFonts w:hint="eastAsia" w:ascii="宋体" w:hAnsi="宋体" w:cs="宋体"/>
          <w:color w:val="000000"/>
          <w:kern w:val="2"/>
        </w:rPr>
        <w:t>（四）评审标准及方法</w:t>
      </w:r>
    </w:p>
    <w:p>
      <w:pPr>
        <w:pStyle w:val="21"/>
        <w:widowControl/>
        <w:spacing w:line="360" w:lineRule="auto"/>
        <w:rPr>
          <w:rFonts w:ascii="宋体"/>
          <w:color w:val="000000"/>
          <w:kern w:val="2"/>
        </w:rPr>
      </w:pPr>
      <w:r>
        <w:rPr>
          <w:rFonts w:hint="eastAsia" w:ascii="宋体" w:hAnsi="宋体" w:cs="宋体"/>
          <w:color w:val="000000"/>
          <w:kern w:val="2"/>
        </w:rPr>
        <w:t>　　</w:t>
      </w:r>
      <w:r>
        <w:rPr>
          <w:rFonts w:ascii="宋体" w:hAnsi="宋体" w:cs="宋体"/>
          <w:color w:val="000000"/>
          <w:kern w:val="2"/>
        </w:rPr>
        <w:t xml:space="preserve"> 1</w:t>
      </w:r>
      <w:r>
        <w:rPr>
          <w:rFonts w:hint="eastAsia" w:ascii="宋体" w:hAnsi="宋体" w:cs="宋体"/>
          <w:color w:val="000000"/>
          <w:kern w:val="2"/>
        </w:rPr>
        <w:t>、本项目采用综合评分法，是指响应文件满足谈判文件全部实质性要求且按评审因素的量化指标评审得分最高的供应商为成交候选供应商的评审方法。评审标准中的分值设置应当与评审因素的量化指标相对应。谈判文件中没有规定的评审标准不得作为评审依据。</w:t>
      </w:r>
    </w:p>
    <w:p>
      <w:pPr>
        <w:pStyle w:val="21"/>
        <w:widowControl/>
        <w:spacing w:line="360" w:lineRule="auto"/>
        <w:rPr>
          <w:rFonts w:ascii="宋体"/>
          <w:color w:val="000000"/>
          <w:kern w:val="2"/>
        </w:rPr>
      </w:pPr>
      <w:r>
        <w:rPr>
          <w:rFonts w:hint="eastAsia" w:ascii="宋体" w:hAnsi="宋体" w:cs="宋体"/>
          <w:color w:val="000000"/>
          <w:kern w:val="2"/>
        </w:rPr>
        <w:t>　</w:t>
      </w:r>
      <w:r>
        <w:rPr>
          <w:rFonts w:ascii="宋体" w:hAnsi="宋体" w:cs="宋体"/>
          <w:color w:val="000000"/>
          <w:kern w:val="2"/>
        </w:rPr>
        <w:t xml:space="preserve">  2</w:t>
      </w:r>
      <w:r>
        <w:rPr>
          <w:rFonts w:hint="eastAsia" w:ascii="宋体" w:hAnsi="宋体" w:cs="宋体"/>
          <w:color w:val="000000"/>
          <w:kern w:val="2"/>
        </w:rPr>
        <w:t>、综合评分法中的价格分统一采用低价优先法计算，即满足谈判文件要求</w:t>
      </w:r>
      <w:r>
        <w:rPr>
          <w:rFonts w:hint="eastAsia" w:ascii="宋体" w:hAnsi="宋体" w:cs="宋体"/>
          <w:color w:val="000000"/>
        </w:rPr>
        <w:t>（不超过采购预算价）</w:t>
      </w:r>
      <w:r>
        <w:rPr>
          <w:rFonts w:hint="eastAsia" w:ascii="宋体" w:hAnsi="宋体" w:cs="宋体"/>
          <w:color w:val="000000"/>
          <w:kern w:val="2"/>
        </w:rPr>
        <w:t>且最后报价最低的</w:t>
      </w:r>
      <w:r>
        <w:fldChar w:fldCharType="begin"/>
      </w:r>
      <w:r>
        <w:instrText xml:space="preserve"> HYPERLINK "http://cpro.baidu.com/cpro/ui/uijs.php?adclass=0&amp;app_id=0&amp;c=news&amp;cf=1001&amp;ch=0&amp;di=128&amp;fv=0&amp;is_app=0&amp;jk=5107fdb6226ca555&amp;k=%B9%A9%D3%A6%C9%CC&amp;k0=%B9%A9%D3%A6%C9%CC&amp;kdi0=0&amp;luki=7&amp;n=10&amp;p=baidu&amp;q=baidusiteerror_cpr&amp;rb=0&amp;rs=1&amp;seller_id=1&amp;sid=55a56c22b6fd0751&amp;ssp2=1&amp;stid=0&amp;t=tpclicked3_hc&amp;tu=u2105128&amp;u=http://www.kuaiji.com/fagui/2168360&amp;urlid=0" \t "http://www.kuaiji.com/fagui/_blank" </w:instrText>
      </w:r>
      <w:r>
        <w:fldChar w:fldCharType="separate"/>
      </w:r>
      <w:r>
        <w:rPr>
          <w:rFonts w:hint="eastAsia" w:ascii="宋体" w:hAnsi="宋体" w:cs="宋体"/>
          <w:color w:val="000000"/>
          <w:kern w:val="2"/>
        </w:rPr>
        <w:t>供应商</w:t>
      </w:r>
      <w:r>
        <w:rPr>
          <w:rFonts w:hint="eastAsia" w:ascii="宋体" w:hAnsi="宋体" w:cs="宋体"/>
          <w:color w:val="000000"/>
          <w:kern w:val="2"/>
        </w:rPr>
        <w:fldChar w:fldCharType="end"/>
      </w:r>
      <w:r>
        <w:rPr>
          <w:rFonts w:hint="eastAsia" w:ascii="宋体" w:hAnsi="宋体" w:cs="宋体"/>
          <w:color w:val="000000"/>
          <w:kern w:val="2"/>
        </w:rPr>
        <w:t>的价格为谈判基准价，其价格分为满分。其他供应商的价格分统一按照下列公式计算：</w:t>
      </w:r>
    </w:p>
    <w:p>
      <w:pPr>
        <w:pStyle w:val="21"/>
        <w:widowControl/>
        <w:spacing w:line="360" w:lineRule="auto"/>
        <w:ind w:firstLine="480"/>
        <w:rPr>
          <w:rFonts w:ascii="宋体"/>
          <w:color w:val="000000"/>
          <w:kern w:val="2"/>
        </w:rPr>
      </w:pPr>
      <w:r>
        <w:rPr>
          <w:rFonts w:hint="eastAsia" w:ascii="宋体" w:hAnsi="宋体" w:cs="宋体"/>
          <w:color w:val="000000"/>
          <w:kern w:val="2"/>
        </w:rPr>
        <w:t>谈判报价得分</w:t>
      </w:r>
      <w:r>
        <w:rPr>
          <w:rFonts w:ascii="宋体" w:hAnsi="宋体" w:cs="宋体"/>
          <w:color w:val="000000"/>
          <w:kern w:val="2"/>
        </w:rPr>
        <w:t>=</w:t>
      </w:r>
      <w:r>
        <w:rPr>
          <w:rFonts w:hint="eastAsia" w:ascii="宋体" w:hAnsi="宋体" w:cs="宋体"/>
          <w:color w:val="000000"/>
          <w:kern w:val="2"/>
        </w:rPr>
        <w:t>（谈判基准价</w:t>
      </w:r>
      <w:r>
        <w:rPr>
          <w:rFonts w:ascii="宋体" w:hAnsi="宋体" w:cs="宋体"/>
          <w:color w:val="000000"/>
          <w:kern w:val="2"/>
        </w:rPr>
        <w:t>/</w:t>
      </w:r>
      <w:r>
        <w:rPr>
          <w:rFonts w:hint="eastAsia" w:ascii="宋体" w:hAnsi="宋体" w:cs="宋体"/>
          <w:color w:val="000000"/>
          <w:kern w:val="2"/>
        </w:rPr>
        <w:t>最后谈判报价）×价格权值×</w:t>
      </w:r>
      <w:r>
        <w:rPr>
          <w:rFonts w:ascii="宋体" w:hAnsi="宋体" w:cs="宋体"/>
          <w:color w:val="000000"/>
          <w:kern w:val="2"/>
        </w:rPr>
        <w:t>100</w:t>
      </w:r>
    </w:p>
    <w:p>
      <w:pPr>
        <w:pStyle w:val="21"/>
        <w:widowControl/>
        <w:spacing w:line="360" w:lineRule="auto"/>
        <w:ind w:firstLine="480"/>
        <w:rPr>
          <w:rFonts w:ascii="宋体"/>
          <w:color w:val="000000"/>
          <w:kern w:val="2"/>
        </w:rPr>
      </w:pPr>
      <w:r>
        <w:rPr>
          <w:rFonts w:hint="eastAsia" w:ascii="宋体" w:hAnsi="宋体" w:cs="宋体"/>
          <w:color w:val="000000"/>
          <w:kern w:val="2"/>
        </w:rPr>
        <w:t>本项目的价格权值为</w:t>
      </w:r>
      <w:r>
        <w:rPr>
          <w:rFonts w:ascii="宋体" w:hAnsi="宋体" w:cs="宋体"/>
          <w:color w:val="000000"/>
          <w:kern w:val="2"/>
        </w:rPr>
        <w:t>5</w:t>
      </w:r>
      <w:r>
        <w:rPr>
          <w:rFonts w:hint="eastAsia" w:ascii="宋体" w:hAnsi="宋体" w:cs="宋体"/>
          <w:color w:val="000000"/>
          <w:kern w:val="2"/>
          <w:lang w:val="en-US" w:eastAsia="zh-CN"/>
        </w:rPr>
        <w:t>0</w:t>
      </w:r>
      <w:r>
        <w:rPr>
          <w:rFonts w:ascii="宋体" w:hAnsi="宋体" w:cs="宋体"/>
          <w:color w:val="000000"/>
          <w:kern w:val="2"/>
        </w:rPr>
        <w:t>%</w:t>
      </w:r>
      <w:r>
        <w:rPr>
          <w:rFonts w:hint="eastAsia" w:ascii="宋体" w:hAnsi="宋体" w:cs="宋体"/>
          <w:color w:val="000000"/>
          <w:kern w:val="2"/>
        </w:rPr>
        <w:t>评审过程中，不得去掉最后报价中的最高报价和最低报价。</w:t>
      </w:r>
    </w:p>
    <w:p>
      <w:pPr>
        <w:pStyle w:val="21"/>
        <w:widowControl/>
        <w:spacing w:line="360" w:lineRule="auto"/>
        <w:rPr>
          <w:rFonts w:ascii="黑体" w:hAnsi="黑体" w:eastAsia="黑体"/>
          <w:color w:val="000000"/>
        </w:rPr>
      </w:pPr>
      <w:r>
        <w:rPr>
          <w:rFonts w:ascii="宋体" w:hAnsi="宋体" w:cs="宋体"/>
          <w:color w:val="000000"/>
          <w:kern w:val="2"/>
        </w:rPr>
        <w:t xml:space="preserve">   3</w:t>
      </w:r>
      <w:r>
        <w:rPr>
          <w:rFonts w:hint="eastAsia" w:ascii="宋体" w:hAnsi="宋体" w:cs="宋体"/>
          <w:color w:val="000000"/>
          <w:kern w:val="2"/>
        </w:rPr>
        <w:t>、评审时，谈判小组各成员应当独立对每个有效响应的文件进行评价、打分，然后汇总每个供应商每项评分因素的得分。</w:t>
      </w:r>
    </w:p>
    <w:p>
      <w:pPr>
        <w:spacing w:line="360" w:lineRule="auto"/>
        <w:rPr>
          <w:rFonts w:hint="eastAsia" w:ascii="宋体" w:hAnsi="宋体" w:cs="宋体"/>
          <w:color w:val="000000"/>
          <w:sz w:val="24"/>
          <w:szCs w:val="24"/>
          <w:lang w:val="en-US" w:eastAsia="zh-CN"/>
        </w:rPr>
      </w:pPr>
      <w:r>
        <w:rPr>
          <w:rFonts w:ascii="宋体" w:hAnsi="宋体" w:cs="宋体"/>
          <w:color w:val="000000"/>
          <w:sz w:val="24"/>
          <w:szCs w:val="24"/>
        </w:rPr>
        <w:t xml:space="preserve">   4</w:t>
      </w:r>
      <w:r>
        <w:rPr>
          <w:rFonts w:hint="eastAsia" w:ascii="宋体" w:hAnsi="宋体" w:cs="宋体"/>
          <w:color w:val="000000"/>
          <w:sz w:val="24"/>
          <w:szCs w:val="24"/>
        </w:rPr>
        <w:t>、供应商总得分为综合、技术、价格三种评定因素分项得分后相加，满分为</w:t>
      </w:r>
      <w:r>
        <w:rPr>
          <w:rFonts w:ascii="宋体" w:hAnsi="宋体" w:cs="宋体"/>
          <w:color w:val="000000"/>
          <w:sz w:val="24"/>
          <w:szCs w:val="24"/>
        </w:rPr>
        <w:t>100</w:t>
      </w:r>
      <w:r>
        <w:rPr>
          <w:rFonts w:hint="eastAsia" w:ascii="宋体" w:hAnsi="宋体" w:cs="宋体"/>
          <w:color w:val="000000"/>
          <w:sz w:val="24"/>
          <w:szCs w:val="24"/>
        </w:rPr>
        <w:t>分。其中技术部分</w:t>
      </w:r>
      <w:r>
        <w:rPr>
          <w:rFonts w:hint="eastAsia" w:ascii="宋体" w:hAnsi="宋体" w:cs="宋体"/>
          <w:color w:val="000000"/>
          <w:sz w:val="24"/>
          <w:szCs w:val="24"/>
          <w:lang w:val="en-US" w:eastAsia="zh-CN"/>
        </w:rPr>
        <w:t>50</w:t>
      </w:r>
      <w:r>
        <w:rPr>
          <w:rFonts w:hint="eastAsia" w:ascii="宋体" w:hAnsi="宋体" w:cs="宋体"/>
          <w:color w:val="000000"/>
          <w:sz w:val="24"/>
          <w:szCs w:val="24"/>
        </w:rPr>
        <w:t>综合部分为</w:t>
      </w:r>
      <w:r>
        <w:rPr>
          <w:rFonts w:hint="eastAsia" w:ascii="宋体" w:hAnsi="宋体" w:cs="宋体"/>
          <w:color w:val="000000"/>
          <w:sz w:val="24"/>
          <w:szCs w:val="24"/>
          <w:lang w:val="en-US" w:eastAsia="zh-CN"/>
        </w:rPr>
        <w:t>10</w:t>
      </w:r>
      <w:r>
        <w:rPr>
          <w:rFonts w:hint="eastAsia" w:ascii="宋体" w:hAnsi="宋体" w:cs="宋体"/>
          <w:color w:val="000000"/>
          <w:sz w:val="24"/>
          <w:szCs w:val="24"/>
        </w:rPr>
        <w:t>分，价格部分为</w:t>
      </w:r>
      <w:r>
        <w:rPr>
          <w:rFonts w:hint="eastAsia" w:ascii="宋体" w:hAnsi="宋体" w:cs="宋体"/>
          <w:color w:val="000000"/>
          <w:sz w:val="24"/>
          <w:szCs w:val="24"/>
          <w:lang w:val="en-US" w:eastAsia="zh-CN"/>
        </w:rPr>
        <w:t>40分</w:t>
      </w:r>
    </w:p>
    <w:tbl>
      <w:tblPr>
        <w:tblStyle w:val="24"/>
        <w:tblpPr w:leftFromText="180" w:rightFromText="180" w:vertAnchor="text" w:horzAnchor="page" w:tblpX="1480" w:tblpY="341"/>
        <w:tblOverlap w:val="never"/>
        <w:tblW w:w="94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05"/>
        <w:gridCol w:w="1067"/>
        <w:gridCol w:w="6215"/>
        <w:gridCol w:w="550"/>
        <w:gridCol w:w="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0" w:hRule="atLeast"/>
        </w:trPr>
        <w:tc>
          <w:tcPr>
            <w:tcW w:w="9437" w:type="dxa"/>
            <w:gridSpan w:val="5"/>
            <w:tcBorders>
              <w:tl2br w:val="nil"/>
              <w:tr2bl w:val="nil"/>
            </w:tcBorders>
            <w:vAlign w:val="center"/>
          </w:tcPr>
          <w:p>
            <w:pPr>
              <w:widowControl/>
              <w:jc w:val="center"/>
              <w:textAlignment w:val="center"/>
              <w:rPr>
                <w:rFonts w:ascii="宋体" w:cs="宋体"/>
                <w:color w:val="auto"/>
                <w:sz w:val="28"/>
                <w:szCs w:val="28"/>
              </w:rPr>
            </w:pPr>
            <w:r>
              <w:rPr>
                <w:rFonts w:hint="eastAsia" w:ascii="宋体" w:hAnsi="宋体" w:cs="宋体"/>
                <w:color w:val="auto"/>
                <w:kern w:val="0"/>
                <w:sz w:val="28"/>
                <w:szCs w:val="28"/>
              </w:rPr>
              <w:t>评分标准及方法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0" w:hRule="atLeast"/>
        </w:trPr>
        <w:tc>
          <w:tcPr>
            <w:tcW w:w="2172" w:type="dxa"/>
            <w:gridSpan w:val="2"/>
            <w:tcBorders>
              <w:tl2br w:val="nil"/>
              <w:tr2bl w:val="nil"/>
            </w:tcBorders>
            <w:vAlign w:val="center"/>
          </w:tcPr>
          <w:p>
            <w:pPr>
              <w:widowControl/>
              <w:jc w:val="center"/>
              <w:textAlignment w:val="center"/>
              <w:rPr>
                <w:rFonts w:ascii="宋体" w:hAnsi="宋体" w:cs="宋体"/>
                <w:b/>
                <w:bCs/>
                <w:color w:val="auto"/>
                <w:kern w:val="0"/>
                <w:sz w:val="24"/>
              </w:rPr>
            </w:pPr>
            <w:r>
              <w:rPr>
                <w:rFonts w:hint="eastAsia" w:ascii="宋体" w:hAnsi="宋体" w:cs="宋体"/>
                <w:b/>
                <w:bCs/>
                <w:color w:val="auto"/>
                <w:kern w:val="0"/>
                <w:sz w:val="24"/>
              </w:rPr>
              <w:t>评审因素</w:t>
            </w:r>
          </w:p>
        </w:tc>
        <w:tc>
          <w:tcPr>
            <w:tcW w:w="7265" w:type="dxa"/>
            <w:gridSpan w:val="3"/>
            <w:tcBorders>
              <w:tl2br w:val="nil"/>
              <w:tr2bl w:val="nil"/>
            </w:tcBorders>
            <w:vAlign w:val="center"/>
          </w:tcPr>
          <w:p>
            <w:pPr>
              <w:widowControl/>
              <w:jc w:val="center"/>
              <w:textAlignment w:val="center"/>
              <w:rPr>
                <w:rFonts w:ascii="宋体" w:hAnsi="宋体" w:cs="宋体"/>
                <w:b/>
                <w:bCs/>
                <w:color w:val="auto"/>
                <w:kern w:val="0"/>
                <w:sz w:val="24"/>
              </w:rPr>
            </w:pPr>
            <w:r>
              <w:rPr>
                <w:rFonts w:hint="eastAsia" w:ascii="宋体" w:hAnsi="宋体" w:cs="宋体"/>
                <w:b/>
                <w:bCs/>
                <w:color w:val="auto"/>
                <w:kern w:val="0"/>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2172" w:type="dxa"/>
            <w:gridSpan w:val="2"/>
            <w:vMerge w:val="restart"/>
            <w:tcBorders>
              <w:tl2br w:val="nil"/>
              <w:tr2bl w:val="nil"/>
            </w:tcBorders>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rPr>
              <w:t>评标因素权重</w:t>
            </w:r>
          </w:p>
        </w:tc>
        <w:tc>
          <w:tcPr>
            <w:tcW w:w="7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auto"/>
                <w:sz w:val="24"/>
                <w:szCs w:val="24"/>
              </w:rPr>
            </w:pPr>
            <w:r>
              <w:rPr>
                <w:rFonts w:hint="eastAsia" w:ascii="宋体" w:hAnsi="宋体" w:cs="宋体"/>
                <w:color w:val="auto"/>
                <w:sz w:val="24"/>
                <w:szCs w:val="24"/>
              </w:rPr>
              <w:t>投标报价：</w:t>
            </w:r>
            <w:r>
              <w:rPr>
                <w:rFonts w:hint="eastAsia" w:ascii="宋体" w:hAnsi="宋体" w:cs="宋体"/>
                <w:color w:val="auto"/>
                <w:sz w:val="24"/>
                <w:szCs w:val="24"/>
                <w:lang w:val="en-US" w:eastAsia="zh-CN"/>
              </w:rPr>
              <w:t>40</w:t>
            </w:r>
            <w:r>
              <w:rPr>
                <w:rFonts w:hint="eastAsia" w:ascii="宋体" w:hAnsi="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2172" w:type="dxa"/>
            <w:gridSpan w:val="2"/>
            <w:vMerge w:val="continue"/>
            <w:tcBorders>
              <w:tl2br w:val="nil"/>
              <w:tr2bl w:val="nil"/>
            </w:tcBorders>
            <w:vAlign w:val="center"/>
          </w:tcPr>
          <w:p>
            <w:pPr>
              <w:spacing w:line="360" w:lineRule="auto"/>
              <w:rPr>
                <w:rFonts w:hint="eastAsia" w:ascii="宋体" w:hAnsi="宋体" w:cs="宋体"/>
                <w:color w:val="auto"/>
                <w:sz w:val="24"/>
                <w:szCs w:val="24"/>
              </w:rPr>
            </w:pPr>
          </w:p>
        </w:tc>
        <w:tc>
          <w:tcPr>
            <w:tcW w:w="7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综合部分</w:t>
            </w:r>
            <w:r>
              <w:rPr>
                <w:rFonts w:hint="eastAsia" w:ascii="宋体" w:hAnsi="宋体" w:cs="宋体"/>
                <w:color w:val="auto"/>
                <w:sz w:val="24"/>
                <w:szCs w:val="24"/>
              </w:rPr>
              <w:t>：1</w:t>
            </w:r>
            <w:r>
              <w:rPr>
                <w:rFonts w:hint="eastAsia" w:ascii="宋体" w:hAnsi="宋体" w:cs="宋体"/>
                <w:color w:val="auto"/>
                <w:sz w:val="24"/>
                <w:szCs w:val="24"/>
                <w:lang w:val="en-US" w:eastAsia="zh-CN"/>
              </w:rPr>
              <w:t>0</w:t>
            </w:r>
            <w:r>
              <w:rPr>
                <w:rFonts w:hint="eastAsia" w:ascii="宋体" w:hAnsi="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2172" w:type="dxa"/>
            <w:gridSpan w:val="2"/>
            <w:vMerge w:val="continue"/>
            <w:tcBorders>
              <w:tl2br w:val="nil"/>
              <w:tr2bl w:val="nil"/>
            </w:tcBorders>
            <w:vAlign w:val="center"/>
          </w:tcPr>
          <w:p>
            <w:pPr>
              <w:spacing w:line="360" w:lineRule="auto"/>
              <w:rPr>
                <w:rFonts w:hint="eastAsia" w:ascii="宋体" w:hAnsi="宋体" w:cs="宋体"/>
                <w:color w:val="auto"/>
                <w:sz w:val="24"/>
                <w:szCs w:val="24"/>
              </w:rPr>
            </w:pPr>
          </w:p>
        </w:tc>
        <w:tc>
          <w:tcPr>
            <w:tcW w:w="726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技术部分</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11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4"/>
                <w:szCs w:val="24"/>
              </w:rPr>
            </w:pPr>
            <w:r>
              <w:rPr>
                <w:rFonts w:hint="eastAsia" w:ascii="宋体" w:hAnsi="宋体" w:cs="宋体"/>
                <w:color w:val="auto"/>
                <w:sz w:val="24"/>
                <w:szCs w:val="24"/>
              </w:rPr>
              <w:t>评审分项</w:t>
            </w:r>
          </w:p>
        </w:tc>
        <w:tc>
          <w:tcPr>
            <w:tcW w:w="10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4"/>
                <w:szCs w:val="24"/>
              </w:rPr>
            </w:pPr>
            <w:r>
              <w:rPr>
                <w:rFonts w:hint="eastAsia" w:ascii="宋体" w:hAnsi="宋体" w:cs="宋体"/>
                <w:color w:val="auto"/>
                <w:sz w:val="24"/>
                <w:szCs w:val="24"/>
              </w:rPr>
              <w:t>评审因素</w:t>
            </w: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4"/>
                <w:szCs w:val="24"/>
              </w:rPr>
            </w:pPr>
            <w:r>
              <w:rPr>
                <w:rFonts w:hint="eastAsia" w:ascii="宋体" w:hAnsi="宋体" w:cs="宋体"/>
                <w:color w:val="auto"/>
                <w:sz w:val="24"/>
                <w:szCs w:val="24"/>
              </w:rPr>
              <w:t>评审内容及标准</w:t>
            </w:r>
          </w:p>
        </w:tc>
        <w:tc>
          <w:tcPr>
            <w:tcW w:w="550" w:type="dxa"/>
            <w:tcBorders>
              <w:tl2br w:val="nil"/>
              <w:tr2bl w:val="nil"/>
            </w:tcBorders>
            <w:vAlign w:val="center"/>
          </w:tcPr>
          <w:p>
            <w:pPr>
              <w:widowControl/>
              <w:jc w:val="center"/>
              <w:textAlignment w:val="center"/>
              <w:rPr>
                <w:rFonts w:ascii="宋体" w:cs="宋体"/>
                <w:color w:val="auto"/>
                <w:sz w:val="22"/>
                <w:szCs w:val="22"/>
              </w:rPr>
            </w:pPr>
            <w:r>
              <w:rPr>
                <w:rFonts w:hint="eastAsia" w:ascii="宋体" w:hAnsi="宋体" w:cs="宋体"/>
                <w:color w:val="auto"/>
                <w:kern w:val="0"/>
                <w:sz w:val="22"/>
                <w:szCs w:val="22"/>
              </w:rPr>
              <w:t>满分</w:t>
            </w:r>
          </w:p>
        </w:tc>
        <w:tc>
          <w:tcPr>
            <w:tcW w:w="500" w:type="dxa"/>
            <w:tcBorders>
              <w:tl2br w:val="nil"/>
              <w:tr2bl w:val="nil"/>
            </w:tcBorders>
            <w:vAlign w:val="center"/>
          </w:tcPr>
          <w:p>
            <w:pPr>
              <w:widowControl/>
              <w:jc w:val="center"/>
              <w:textAlignment w:val="center"/>
              <w:rPr>
                <w:rFonts w:ascii="宋体" w:cs="宋体"/>
                <w:color w:val="auto"/>
                <w:szCs w:val="21"/>
              </w:rPr>
            </w:pPr>
            <w:r>
              <w:rPr>
                <w:rFonts w:hint="eastAsia" w:ascii="宋体" w:hAnsi="宋体" w:cs="宋体"/>
                <w:color w:val="auto"/>
                <w:kern w:val="0"/>
                <w:szCs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98" w:hRule="atLeast"/>
        </w:trPr>
        <w:tc>
          <w:tcPr>
            <w:tcW w:w="1105" w:type="dxa"/>
            <w:tcBorders>
              <w:tl2br w:val="nil"/>
              <w:tr2bl w:val="nil"/>
            </w:tcBorders>
            <w:vAlign w:val="center"/>
          </w:tcPr>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rPr>
              <w:t>投标报价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40分</w:t>
            </w:r>
            <w:r>
              <w:rPr>
                <w:rFonts w:hint="eastAsia" w:ascii="宋体" w:hAnsi="宋体" w:cs="宋体"/>
                <w:color w:val="auto"/>
                <w:sz w:val="24"/>
                <w:szCs w:val="24"/>
                <w:lang w:eastAsia="zh-CN"/>
              </w:rPr>
              <w:t>）</w:t>
            </w:r>
          </w:p>
        </w:tc>
        <w:tc>
          <w:tcPr>
            <w:tcW w:w="1067" w:type="dxa"/>
            <w:tcBorders>
              <w:tl2br w:val="nil"/>
              <w:tr2bl w:val="nil"/>
            </w:tcBorders>
            <w:vAlign w:val="center"/>
          </w:tcPr>
          <w:p>
            <w:pPr>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szCs w:val="24"/>
              </w:rPr>
            </w:pPr>
            <w:r>
              <w:rPr>
                <w:rFonts w:hint="eastAsia" w:ascii="宋体" w:hAnsi="宋体" w:cs="宋体"/>
                <w:color w:val="auto"/>
                <w:sz w:val="24"/>
                <w:szCs w:val="24"/>
              </w:rPr>
              <w:t>报价得分的计算方法</w:t>
            </w:r>
          </w:p>
        </w:tc>
        <w:tc>
          <w:tcPr>
            <w:tcW w:w="6215"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宋体"/>
                <w:color w:val="auto"/>
                <w:sz w:val="24"/>
                <w:szCs w:val="24"/>
              </w:rPr>
            </w:pPr>
            <w:r>
              <w:rPr>
                <w:rFonts w:hint="eastAsia" w:ascii="宋体" w:hAnsi="宋体" w:cs="宋体"/>
                <w:color w:val="auto"/>
                <w:sz w:val="24"/>
                <w:szCs w:val="24"/>
              </w:rPr>
              <w:t>综合评分法中的价格分统一采用低价优先法计算，即满足谈判文件要求且最后报价最低的供应商的价格为谈判基准价，其价格分为满分。其他供应商的价格分统一按照下列公式计算：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cs="宋体"/>
                <w:color w:val="auto"/>
                <w:sz w:val="24"/>
                <w:szCs w:val="24"/>
              </w:rPr>
            </w:pPr>
            <w:r>
              <w:rPr>
                <w:rFonts w:hint="eastAsia" w:ascii="宋体" w:hAnsi="宋体" w:cs="宋体"/>
                <w:color w:val="auto"/>
                <w:sz w:val="24"/>
                <w:szCs w:val="24"/>
              </w:rPr>
              <w:t>谈判报价得分</w:t>
            </w:r>
            <w:r>
              <w:rPr>
                <w:rFonts w:ascii="宋体" w:hAnsi="宋体" w:cs="宋体"/>
                <w:color w:val="auto"/>
                <w:sz w:val="24"/>
                <w:szCs w:val="24"/>
              </w:rPr>
              <w:t>=</w:t>
            </w:r>
            <w:r>
              <w:rPr>
                <w:rFonts w:hint="eastAsia" w:ascii="宋体" w:hAnsi="宋体" w:cs="宋体"/>
                <w:color w:val="auto"/>
                <w:sz w:val="24"/>
                <w:szCs w:val="24"/>
              </w:rPr>
              <w:t>（谈判基准价</w:t>
            </w:r>
            <w:r>
              <w:rPr>
                <w:rFonts w:ascii="宋体" w:hAnsi="宋体" w:cs="宋体"/>
                <w:color w:val="auto"/>
                <w:sz w:val="24"/>
                <w:szCs w:val="24"/>
              </w:rPr>
              <w:t>/</w:t>
            </w:r>
            <w:r>
              <w:rPr>
                <w:rFonts w:hint="eastAsia" w:ascii="宋体" w:hAnsi="宋体" w:cs="宋体"/>
                <w:color w:val="auto"/>
                <w:sz w:val="24"/>
                <w:szCs w:val="24"/>
              </w:rPr>
              <w:t>最后谈判报价）×价格权值×</w:t>
            </w:r>
            <w:r>
              <w:rPr>
                <w:rFonts w:ascii="宋体" w:hAnsi="宋体" w:cs="宋体"/>
                <w:color w:val="auto"/>
                <w:sz w:val="24"/>
                <w:szCs w:val="24"/>
              </w:rPr>
              <w:t>100</w:t>
            </w:r>
          </w:p>
        </w:tc>
        <w:tc>
          <w:tcPr>
            <w:tcW w:w="550" w:type="dxa"/>
            <w:tcBorders>
              <w:tl2br w:val="nil"/>
              <w:tr2bl w:val="nil"/>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c>
          <w:tcPr>
            <w:tcW w:w="500" w:type="dxa"/>
            <w:tcBorders>
              <w:tl2br w:val="nil"/>
              <w:tr2bl w:val="nil"/>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9" w:hRule="atLeast"/>
        </w:trPr>
        <w:tc>
          <w:tcPr>
            <w:tcW w:w="1105" w:type="dxa"/>
            <w:vMerge w:val="restart"/>
            <w:tcBorders>
              <w:tl2br w:val="nil"/>
              <w:tr2bl w:val="nil"/>
            </w:tcBorders>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综合部分（10分）</w:t>
            </w:r>
          </w:p>
        </w:tc>
        <w:tc>
          <w:tcPr>
            <w:tcW w:w="1067" w:type="dxa"/>
            <w:tcBorders>
              <w:tl2br w:val="nil"/>
              <w:tr2bl w:val="nil"/>
            </w:tcBorders>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企业</w:t>
            </w:r>
            <w:r>
              <w:rPr>
                <w:rFonts w:hint="eastAsia" w:ascii="宋体" w:hAnsi="宋体" w:cs="宋体"/>
                <w:color w:val="auto"/>
                <w:sz w:val="24"/>
                <w:szCs w:val="24"/>
              </w:rPr>
              <w:t>资质</w:t>
            </w: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荣获省级以上荣誉资质，或担任省级以上联盟、协会副会长或副理事长以上职务，得2分。</w:t>
            </w:r>
          </w:p>
        </w:tc>
        <w:tc>
          <w:tcPr>
            <w:tcW w:w="550" w:type="dxa"/>
            <w:tcBorders>
              <w:tl2br w:val="nil"/>
              <w:tr2bl w:val="nil"/>
            </w:tcBorders>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2</w:t>
            </w:r>
          </w:p>
        </w:tc>
        <w:tc>
          <w:tcPr>
            <w:tcW w:w="500" w:type="dxa"/>
            <w:vMerge w:val="restart"/>
            <w:tcBorders>
              <w:tl2br w:val="nil"/>
              <w:tr2bl w:val="nil"/>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rPr>
            </w:pPr>
          </w:p>
        </w:tc>
        <w:tc>
          <w:tcPr>
            <w:tcW w:w="1067" w:type="dxa"/>
            <w:tcBorders>
              <w:tl2br w:val="nil"/>
              <w:tr2bl w:val="nil"/>
            </w:tcBorders>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rPr>
              <w:t>近</w:t>
            </w:r>
            <w:r>
              <w:rPr>
                <w:rFonts w:hint="eastAsia" w:ascii="宋体" w:hAnsi="宋体" w:cs="宋体"/>
                <w:color w:val="auto"/>
                <w:sz w:val="24"/>
                <w:szCs w:val="24"/>
                <w:lang w:val="en-US" w:eastAsia="zh-CN"/>
              </w:rPr>
              <w:t>三</w:t>
            </w:r>
            <w:r>
              <w:rPr>
                <w:rFonts w:hint="eastAsia" w:ascii="宋体" w:hAnsi="宋体" w:cs="宋体"/>
                <w:color w:val="auto"/>
                <w:sz w:val="24"/>
                <w:szCs w:val="24"/>
              </w:rPr>
              <w:t>年类似业绩</w:t>
            </w: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val="en-US" w:eastAsia="zh-CN"/>
              </w:rPr>
            </w:pPr>
            <w:r>
              <w:rPr>
                <w:rFonts w:hint="eastAsia" w:ascii="宋体" w:hAnsi="宋体" w:cs="宋体"/>
                <w:color w:val="auto"/>
                <w:sz w:val="24"/>
              </w:rPr>
              <w:t>供应商企业近</w:t>
            </w:r>
            <w:r>
              <w:rPr>
                <w:rFonts w:hint="eastAsia" w:ascii="宋体" w:hAnsi="宋体" w:cs="宋体"/>
                <w:color w:val="auto"/>
                <w:sz w:val="24"/>
                <w:lang w:val="en-US" w:eastAsia="zh-CN"/>
              </w:rPr>
              <w:t>三</w:t>
            </w:r>
            <w:r>
              <w:rPr>
                <w:rFonts w:hint="eastAsia" w:ascii="宋体" w:hAnsi="宋体" w:cs="宋体"/>
                <w:color w:val="auto"/>
                <w:sz w:val="24"/>
              </w:rPr>
              <w:t>年（20</w:t>
            </w:r>
            <w:r>
              <w:rPr>
                <w:rFonts w:hint="eastAsia" w:ascii="宋体" w:hAnsi="宋体" w:cs="宋体"/>
                <w:color w:val="auto"/>
                <w:sz w:val="24"/>
                <w:lang w:val="en-US" w:eastAsia="zh-CN"/>
              </w:rPr>
              <w:t>20</w:t>
            </w:r>
            <w:r>
              <w:rPr>
                <w:rFonts w:hint="eastAsia" w:ascii="宋体" w:hAnsi="宋体" w:cs="宋体"/>
                <w:color w:val="auto"/>
                <w:sz w:val="24"/>
              </w:rPr>
              <w:t>年1月1日至今）承担过</w:t>
            </w:r>
            <w:r>
              <w:rPr>
                <w:rFonts w:hint="eastAsia" w:ascii="宋体" w:hAnsi="宋体" w:cs="宋体"/>
                <w:color w:val="auto"/>
                <w:sz w:val="24"/>
                <w:lang w:val="en-US" w:eastAsia="zh-CN"/>
              </w:rPr>
              <w:t>类似国家级政策申报并成功的服务</w:t>
            </w:r>
            <w:r>
              <w:rPr>
                <w:rFonts w:hint="eastAsia" w:ascii="宋体" w:hAnsi="宋体" w:cs="宋体"/>
                <w:color w:val="auto"/>
                <w:sz w:val="24"/>
              </w:rPr>
              <w:t>业绩，每提供一个得2分，满分</w:t>
            </w:r>
            <w:r>
              <w:rPr>
                <w:rFonts w:hint="eastAsia" w:ascii="宋体" w:hAnsi="宋体" w:cs="宋体"/>
                <w:color w:val="auto"/>
                <w:sz w:val="24"/>
                <w:lang w:val="en-US" w:eastAsia="zh-CN"/>
              </w:rPr>
              <w:t>6</w:t>
            </w:r>
            <w:r>
              <w:rPr>
                <w:rFonts w:hint="eastAsia" w:ascii="宋体" w:hAnsi="宋体" w:cs="宋体"/>
                <w:color w:val="auto"/>
                <w:sz w:val="24"/>
              </w:rPr>
              <w:t>分。</w:t>
            </w:r>
            <w:r>
              <w:rPr>
                <w:rFonts w:hint="eastAsia" w:ascii="宋体" w:hAnsi="宋体" w:cs="宋体"/>
                <w:color w:val="auto"/>
                <w:sz w:val="24"/>
                <w:szCs w:val="24"/>
                <w:lang w:val="en-US" w:eastAsia="zh-CN"/>
              </w:rPr>
              <w:t>满分为6分。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注：1、提供上述证明材料的复印件（加盖公章）；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2、未提供证明材料或提供的证明材料未显示内容的业绩不予计算。</w:t>
            </w:r>
          </w:p>
        </w:tc>
        <w:tc>
          <w:tcPr>
            <w:tcW w:w="550" w:type="dxa"/>
            <w:tcBorders>
              <w:tl2br w:val="nil"/>
              <w:tr2bl w:val="nil"/>
            </w:tcBorders>
            <w:vAlign w:val="center"/>
          </w:tcPr>
          <w:p>
            <w:pPr>
              <w:spacing w:line="360" w:lineRule="auto"/>
              <w:jc w:val="center"/>
              <w:rPr>
                <w:rFonts w:hint="eastAsia" w:ascii="宋体" w:hAnsi="宋体" w:cs="宋体"/>
                <w:color w:val="auto"/>
                <w:sz w:val="24"/>
                <w:szCs w:val="24"/>
              </w:rPr>
            </w:pPr>
          </w:p>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rPr>
            </w:pPr>
          </w:p>
        </w:tc>
        <w:tc>
          <w:tcPr>
            <w:tcW w:w="1067" w:type="dxa"/>
            <w:tcBorders>
              <w:tl2br w:val="nil"/>
              <w:tr2bl w:val="nil"/>
            </w:tcBorders>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项目服务团队</w:t>
            </w:r>
          </w:p>
        </w:tc>
        <w:tc>
          <w:tcPr>
            <w:tcW w:w="6215" w:type="dxa"/>
            <w:tcBorders>
              <w:tl2br w:val="nil"/>
              <w:tr2bl w:val="nil"/>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eastAsia" w:ascii="宋体" w:hAnsi="宋体" w:cs="宋体"/>
                <w:color w:val="auto"/>
                <w:sz w:val="24"/>
                <w:lang w:eastAsia="zh-CN"/>
              </w:rPr>
            </w:pPr>
            <w:r>
              <w:rPr>
                <w:rFonts w:hint="eastAsia" w:ascii="宋体" w:hAnsi="宋体" w:cs="宋体"/>
                <w:color w:val="auto"/>
                <w:sz w:val="24"/>
                <w:szCs w:val="24"/>
                <w:lang w:val="en-US" w:eastAsia="zh-CN"/>
              </w:rPr>
              <w:t>供应商拟派</w:t>
            </w:r>
            <w:r>
              <w:rPr>
                <w:rFonts w:hint="eastAsia" w:ascii="宋体" w:hAnsi="宋体" w:cs="宋体"/>
                <w:color w:val="auto"/>
                <w:sz w:val="24"/>
              </w:rPr>
              <w:t>项目负责人具有</w:t>
            </w:r>
            <w:r>
              <w:rPr>
                <w:rFonts w:hint="eastAsia" w:ascii="宋体" w:hAnsi="宋体" w:cs="宋体"/>
                <w:color w:val="auto"/>
                <w:sz w:val="24"/>
                <w:lang w:val="en-US" w:eastAsia="zh-CN"/>
              </w:rPr>
              <w:t>中级技术职称及以上，且</w:t>
            </w:r>
            <w:r>
              <w:rPr>
                <w:rFonts w:hint="eastAsia" w:ascii="宋体" w:hAnsi="宋体" w:cs="宋体"/>
                <w:color w:val="auto"/>
                <w:sz w:val="24"/>
                <w:szCs w:val="24"/>
                <w:lang w:val="en-US" w:eastAsia="zh-CN"/>
              </w:rPr>
              <w:t>人员结构、专业配备合理，至少一名</w:t>
            </w:r>
            <w:r>
              <w:rPr>
                <w:rFonts w:hint="eastAsia" w:ascii="宋体" w:hAnsi="宋体" w:cs="宋体"/>
                <w:color w:val="auto"/>
                <w:sz w:val="24"/>
                <w:lang w:val="en-US" w:eastAsia="zh-CN"/>
              </w:rPr>
              <w:t>团队成员具有参评省级以上项目的评审工作经验或经认定为省级以上咨询专家，</w:t>
            </w:r>
            <w:r>
              <w:rPr>
                <w:rFonts w:hint="eastAsia" w:ascii="宋体" w:hAnsi="宋体" w:cs="宋体"/>
                <w:color w:val="auto"/>
                <w:sz w:val="24"/>
              </w:rPr>
              <w:t>得</w:t>
            </w:r>
            <w:r>
              <w:rPr>
                <w:rFonts w:hint="eastAsia" w:ascii="宋体" w:hAnsi="宋体" w:cs="宋体"/>
                <w:color w:val="auto"/>
                <w:sz w:val="24"/>
                <w:lang w:val="en-US" w:eastAsia="zh-CN"/>
              </w:rPr>
              <w:t>2</w:t>
            </w:r>
            <w:r>
              <w:rPr>
                <w:rFonts w:hint="eastAsia" w:ascii="宋体" w:hAnsi="宋体" w:cs="宋体"/>
                <w:color w:val="auto"/>
                <w:sz w:val="24"/>
              </w:rPr>
              <w:t>分</w:t>
            </w:r>
            <w:r>
              <w:rPr>
                <w:rFonts w:hint="eastAsia" w:ascii="宋体" w:hAnsi="宋体" w:cs="宋体"/>
                <w:color w:val="auto"/>
                <w:sz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default"/>
                <w:color w:val="auto"/>
                <w:lang w:val="en-US" w:eastAsia="zh-CN"/>
              </w:rPr>
            </w:pPr>
            <w:r>
              <w:rPr>
                <w:rFonts w:hint="eastAsia" w:ascii="宋体" w:hAnsi="宋体" w:cs="宋体"/>
                <w:color w:val="auto"/>
                <w:sz w:val="24"/>
                <w:lang w:val="en-US" w:eastAsia="zh-CN"/>
              </w:rPr>
              <w:t>项目负责人具有中级技术职称及以上，但人员结构、专业配备不合理，团队成员至少有一名具备具参评省级以上项目的评审工作经验、没有经认定为省级以上咨询专家，得1分；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default" w:ascii="宋体" w:hAnsi="宋体" w:cs="宋体"/>
                <w:color w:val="auto"/>
                <w:sz w:val="24"/>
                <w:szCs w:val="24"/>
                <w:lang w:val="en-US" w:eastAsia="zh-CN"/>
              </w:rPr>
            </w:pPr>
            <w:r>
              <w:rPr>
                <w:rFonts w:hint="eastAsia" w:ascii="宋体" w:hAnsi="宋体" w:cs="宋体"/>
                <w:color w:val="auto"/>
                <w:sz w:val="24"/>
                <w:lang w:val="en-US" w:eastAsia="zh-CN"/>
              </w:rPr>
              <w:t>项目负责人具有中级技术职称及以上，但人员结构、专业配备不合理，且团队成员无具备具参评省级以上项目的评审工作经验、没有经认定为省级以上咨询专家，得0.5分；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default" w:ascii="宋体" w:hAnsi="宋体" w:cs="宋体"/>
                <w:color w:val="auto"/>
                <w:sz w:val="24"/>
                <w:szCs w:val="24"/>
                <w:lang w:val="en-US" w:eastAsia="zh-CN"/>
              </w:rPr>
            </w:pPr>
            <w:r>
              <w:rPr>
                <w:rFonts w:hint="eastAsia" w:ascii="宋体" w:hAnsi="宋体" w:cs="宋体"/>
                <w:color w:val="auto"/>
                <w:sz w:val="24"/>
                <w:lang w:val="en-US" w:eastAsia="zh-CN"/>
              </w:rPr>
              <w:t>其他情况不得分，本项最高得2分。</w:t>
            </w:r>
          </w:p>
        </w:tc>
        <w:tc>
          <w:tcPr>
            <w:tcW w:w="550" w:type="dxa"/>
            <w:tcBorders>
              <w:tl2br w:val="nil"/>
              <w:tr2bl w:val="nil"/>
            </w:tcBorders>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1105" w:type="dxa"/>
            <w:vMerge w:val="restart"/>
            <w:tcBorders>
              <w:tl2br w:val="nil"/>
              <w:tr2bl w:val="nil"/>
            </w:tcBorders>
            <w:vAlign w:val="center"/>
          </w:tcPr>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技术部分（50分）</w:t>
            </w:r>
          </w:p>
        </w:tc>
        <w:tc>
          <w:tcPr>
            <w:tcW w:w="1067" w:type="dxa"/>
            <w:vMerge w:val="restart"/>
            <w:tcBorders>
              <w:tl2br w:val="nil"/>
              <w:tr2bl w:val="nil"/>
            </w:tcBorders>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技术</w:t>
            </w:r>
            <w:r>
              <w:rPr>
                <w:rFonts w:hint="eastAsia" w:ascii="宋体" w:hAnsi="宋体" w:cs="宋体"/>
                <w:color w:val="auto"/>
                <w:sz w:val="24"/>
                <w:szCs w:val="24"/>
              </w:rPr>
              <w:t>方案</w:t>
            </w:r>
          </w:p>
        </w:tc>
        <w:tc>
          <w:tcPr>
            <w:tcW w:w="62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对武汉钢铁有限公司五烧结节能减碳改造项目的理解和认识，以及</w:t>
            </w:r>
            <w:r>
              <w:rPr>
                <w:rFonts w:hint="default" w:ascii="宋体" w:hAnsi="宋体" w:cs="宋体"/>
                <w:color w:val="auto"/>
                <w:sz w:val="24"/>
                <w:lang w:val="en-US" w:eastAsia="zh-CN"/>
              </w:rPr>
              <w:t>2023年中央预算内投资计划</w:t>
            </w:r>
            <w:r>
              <w:rPr>
                <w:rFonts w:hint="eastAsia" w:ascii="宋体" w:hAnsi="宋体" w:cs="宋体"/>
                <w:color w:val="auto"/>
                <w:sz w:val="24"/>
                <w:lang w:val="en-US" w:eastAsia="zh-CN"/>
              </w:rPr>
              <w:t>节能减碳</w:t>
            </w:r>
            <w:r>
              <w:rPr>
                <w:rFonts w:hint="default" w:ascii="宋体" w:hAnsi="宋体" w:cs="宋体"/>
                <w:color w:val="auto"/>
                <w:sz w:val="24"/>
                <w:lang w:val="en-US" w:eastAsia="zh-CN"/>
              </w:rPr>
              <w:t>专项</w:t>
            </w:r>
            <w:r>
              <w:rPr>
                <w:rFonts w:hint="eastAsia" w:ascii="宋体" w:hAnsi="宋体" w:cs="宋体"/>
                <w:color w:val="auto"/>
                <w:sz w:val="24"/>
                <w:lang w:val="en-US" w:eastAsia="zh-CN"/>
              </w:rPr>
              <w:t>政策熟悉程度，对是否符合申报进行可行性论证。以上各项内容表述清晰完整详实，条理分明、符合项目实际需求得7</w:t>
            </w:r>
            <w:r>
              <w:rPr>
                <w:rFonts w:hint="eastAsia" w:ascii="宋体" w:hAnsi="宋体" w:cs="宋体"/>
                <w:color w:val="auto"/>
                <w:sz w:val="24"/>
              </w:rPr>
              <w:t>分；如存在部分响应缺陷或缺漏的得</w:t>
            </w:r>
            <w:r>
              <w:rPr>
                <w:rFonts w:hint="eastAsia" w:ascii="宋体" w:hAnsi="宋体" w:cs="宋体"/>
                <w:color w:val="auto"/>
                <w:sz w:val="24"/>
                <w:lang w:val="en-US" w:eastAsia="zh-CN"/>
              </w:rPr>
              <w:t>3</w:t>
            </w:r>
            <w:r>
              <w:rPr>
                <w:rFonts w:hint="eastAsia" w:ascii="宋体" w:hAnsi="宋体" w:cs="宋体"/>
                <w:color w:val="auto"/>
                <w:sz w:val="24"/>
              </w:rPr>
              <w:t>分；未提供不得分</w:t>
            </w:r>
          </w:p>
        </w:tc>
        <w:tc>
          <w:tcPr>
            <w:tcW w:w="550" w:type="dxa"/>
            <w:tcBorders>
              <w:tl2br w:val="nil"/>
              <w:tr2bl w:val="nil"/>
            </w:tcBorders>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7</w:t>
            </w:r>
          </w:p>
        </w:tc>
        <w:tc>
          <w:tcPr>
            <w:tcW w:w="500" w:type="dxa"/>
            <w:vMerge w:val="restart"/>
            <w:tcBorders>
              <w:tl2br w:val="nil"/>
              <w:tr2bl w:val="nil"/>
            </w:tcBorders>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1067"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rPr>
            </w:pPr>
            <w:r>
              <w:rPr>
                <w:rFonts w:hint="eastAsia" w:ascii="宋体" w:hAnsi="宋体" w:cs="宋体"/>
                <w:color w:val="auto"/>
                <w:sz w:val="24"/>
              </w:rPr>
              <w:t>供应商提供本项目实施进度计划表，进度计划详细完整、合理、可行，满足采购文件进度计划要求得6分，存在部分响应缺陷或缺漏的得3分，未提供不得分。</w:t>
            </w:r>
          </w:p>
        </w:tc>
        <w:tc>
          <w:tcPr>
            <w:tcW w:w="550" w:type="dxa"/>
            <w:tcBorders>
              <w:tl2br w:val="nil"/>
              <w:tr2bl w:val="nil"/>
            </w:tcBorders>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1067"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rPr>
            </w:pPr>
            <w:r>
              <w:rPr>
                <w:rFonts w:hint="eastAsia" w:ascii="宋体" w:hAnsi="宋体" w:cs="宋体"/>
                <w:color w:val="auto"/>
                <w:sz w:val="24"/>
              </w:rPr>
              <w:t>对</w:t>
            </w:r>
            <w:r>
              <w:rPr>
                <w:rFonts w:hint="eastAsia" w:ascii="宋体" w:hAnsi="宋体" w:cs="宋体"/>
                <w:color w:val="auto"/>
                <w:sz w:val="24"/>
                <w:lang w:val="en-US" w:eastAsia="zh-CN"/>
              </w:rPr>
              <w:t>项目申报书撰写</w:t>
            </w:r>
            <w:r>
              <w:rPr>
                <w:rFonts w:hint="eastAsia" w:ascii="宋体" w:hAnsi="宋体" w:cs="宋体"/>
                <w:color w:val="auto"/>
                <w:sz w:val="24"/>
              </w:rPr>
              <w:t>思路及工作策划进行阐述，</w:t>
            </w:r>
            <w:r>
              <w:rPr>
                <w:rFonts w:hint="eastAsia" w:ascii="宋体" w:hAnsi="宋体" w:cs="宋体"/>
                <w:color w:val="auto"/>
                <w:sz w:val="24"/>
                <w:lang w:val="en-US" w:eastAsia="zh-CN"/>
              </w:rPr>
              <w:t>对项目服务</w:t>
            </w:r>
            <w:r>
              <w:rPr>
                <w:rFonts w:hint="eastAsia" w:ascii="宋体" w:hAnsi="宋体" w:cs="宋体"/>
                <w:color w:val="auto"/>
                <w:sz w:val="24"/>
              </w:rPr>
              <w:t>思路清晰</w:t>
            </w:r>
            <w:r>
              <w:rPr>
                <w:rFonts w:hint="eastAsia" w:ascii="宋体" w:hAnsi="宋体" w:cs="宋体"/>
                <w:color w:val="auto"/>
                <w:sz w:val="24"/>
                <w:lang w:eastAsia="zh-CN"/>
              </w:rPr>
              <w:t>，</w:t>
            </w:r>
            <w:r>
              <w:rPr>
                <w:rFonts w:hint="eastAsia" w:ascii="宋体" w:hAnsi="宋体" w:cs="宋体"/>
                <w:color w:val="auto"/>
                <w:sz w:val="24"/>
                <w:lang w:val="en-US" w:eastAsia="zh-CN"/>
              </w:rPr>
              <w:t>申报书结构完整</w:t>
            </w:r>
            <w:r>
              <w:rPr>
                <w:rFonts w:hint="eastAsia" w:ascii="宋体" w:hAnsi="宋体" w:cs="宋体"/>
                <w:color w:val="auto"/>
                <w:sz w:val="24"/>
              </w:rPr>
              <w:t>、科学、针对性强，人员分工合理，</w:t>
            </w:r>
            <w:r>
              <w:rPr>
                <w:rFonts w:hint="eastAsia" w:ascii="宋体" w:hAnsi="宋体" w:cs="宋体"/>
                <w:color w:val="auto"/>
                <w:sz w:val="24"/>
                <w:lang w:val="en-US" w:eastAsia="zh-CN"/>
              </w:rPr>
              <w:t>申报工作策划</w:t>
            </w:r>
            <w:r>
              <w:rPr>
                <w:rFonts w:hint="eastAsia" w:ascii="宋体" w:hAnsi="宋体" w:cs="宋体"/>
                <w:color w:val="auto"/>
                <w:sz w:val="24"/>
              </w:rPr>
              <w:t>可行性强</w:t>
            </w:r>
            <w:r>
              <w:rPr>
                <w:rFonts w:hint="eastAsia" w:ascii="宋体" w:hAnsi="宋体" w:cs="宋体"/>
                <w:color w:val="auto"/>
                <w:sz w:val="24"/>
                <w:lang w:eastAsia="zh-CN"/>
              </w:rPr>
              <w:t>，</w:t>
            </w:r>
            <w:r>
              <w:rPr>
                <w:rFonts w:hint="eastAsia" w:ascii="宋体" w:hAnsi="宋体" w:cs="宋体"/>
                <w:color w:val="auto"/>
                <w:sz w:val="24"/>
                <w:lang w:val="en-US" w:eastAsia="zh-CN"/>
              </w:rPr>
              <w:t>包括线上、线下资料装订、提交，及时完整，与各级发改委流畅沟通，</w:t>
            </w:r>
            <w:r>
              <w:rPr>
                <w:rFonts w:hint="eastAsia" w:ascii="宋体" w:hAnsi="宋体" w:cs="宋体"/>
                <w:color w:val="auto"/>
                <w:sz w:val="24"/>
              </w:rPr>
              <w:t>得2</w:t>
            </w:r>
            <w:r>
              <w:rPr>
                <w:rFonts w:hint="eastAsia" w:ascii="宋体" w:hAnsi="宋体" w:cs="宋体"/>
                <w:color w:val="auto"/>
                <w:sz w:val="24"/>
                <w:lang w:val="en-US" w:eastAsia="zh-CN"/>
              </w:rPr>
              <w:t>5</w:t>
            </w:r>
            <w:r>
              <w:rPr>
                <w:rFonts w:hint="eastAsia" w:ascii="宋体" w:hAnsi="宋体" w:cs="宋体"/>
                <w:color w:val="auto"/>
                <w:sz w:val="24"/>
              </w:rPr>
              <w:t>分；方案有瑕疵，基本可行，得1</w:t>
            </w:r>
            <w:r>
              <w:rPr>
                <w:rFonts w:hint="eastAsia" w:ascii="宋体" w:hAnsi="宋体" w:cs="宋体"/>
                <w:color w:val="auto"/>
                <w:sz w:val="24"/>
                <w:lang w:val="en-US" w:eastAsia="zh-CN"/>
              </w:rPr>
              <w:t>5</w:t>
            </w:r>
            <w:r>
              <w:rPr>
                <w:rFonts w:hint="eastAsia" w:ascii="宋体" w:hAnsi="宋体" w:cs="宋体"/>
                <w:color w:val="auto"/>
                <w:sz w:val="24"/>
              </w:rPr>
              <w:t>分；方案内容考虑不全面、漏洞较多的，得</w:t>
            </w:r>
            <w:r>
              <w:rPr>
                <w:rFonts w:hint="eastAsia" w:ascii="宋体" w:hAnsi="宋体" w:cs="宋体"/>
                <w:color w:val="auto"/>
                <w:sz w:val="24"/>
                <w:lang w:val="en-US" w:eastAsia="zh-CN"/>
              </w:rPr>
              <w:t>5</w:t>
            </w:r>
            <w:r>
              <w:rPr>
                <w:rFonts w:hint="eastAsia" w:ascii="宋体" w:hAnsi="宋体" w:cs="宋体"/>
                <w:color w:val="auto"/>
                <w:sz w:val="24"/>
              </w:rPr>
              <w:t>分；未提供不得分。</w:t>
            </w:r>
          </w:p>
        </w:tc>
        <w:tc>
          <w:tcPr>
            <w:tcW w:w="550" w:type="dxa"/>
            <w:tcBorders>
              <w:tl2br w:val="nil"/>
              <w:tr2bl w:val="nil"/>
            </w:tcBorders>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25</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1067"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rPr>
            </w:pPr>
            <w:r>
              <w:rPr>
                <w:rFonts w:hint="eastAsia" w:ascii="宋体" w:hAnsi="宋体" w:cs="宋体"/>
                <w:color w:val="auto"/>
                <w:sz w:val="24"/>
              </w:rPr>
              <w:t>保证</w:t>
            </w:r>
            <w:r>
              <w:rPr>
                <w:rFonts w:hint="eastAsia" w:ascii="宋体" w:hAnsi="宋体" w:cs="宋体"/>
                <w:color w:val="auto"/>
                <w:sz w:val="24"/>
                <w:lang w:val="en-US" w:eastAsia="zh-CN"/>
              </w:rPr>
              <w:t>服务工作</w:t>
            </w:r>
            <w:r>
              <w:rPr>
                <w:rFonts w:hint="eastAsia" w:ascii="宋体" w:hAnsi="宋体" w:cs="宋体"/>
                <w:color w:val="auto"/>
                <w:sz w:val="24"/>
              </w:rPr>
              <w:t>质量的工作计划明确，有任务分解及责任分工，质量控制的基本程序及预控措施切实可行得8分，存在部分响应缺陷或缺漏的得4分，未提供不得分。</w:t>
            </w:r>
          </w:p>
        </w:tc>
        <w:tc>
          <w:tcPr>
            <w:tcW w:w="550" w:type="dxa"/>
            <w:tcBorders>
              <w:tl2br w:val="nil"/>
              <w:tr2bl w:val="nil"/>
            </w:tcBorders>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8</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1105"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1067"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c>
          <w:tcPr>
            <w:tcW w:w="6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rPr>
            </w:pPr>
            <w:r>
              <w:rPr>
                <w:rFonts w:hint="eastAsia" w:ascii="宋体" w:hAnsi="宋体" w:cs="宋体"/>
                <w:color w:val="auto"/>
                <w:sz w:val="24"/>
              </w:rPr>
              <w:t>提供详细、完整、优质的后续服务承诺方案，方案内容包括但不限于</w:t>
            </w:r>
            <w:r>
              <w:rPr>
                <w:rFonts w:hint="eastAsia" w:ascii="宋体" w:hAnsi="宋体" w:cs="宋体"/>
                <w:color w:val="auto"/>
                <w:sz w:val="24"/>
                <w:lang w:val="en-US" w:eastAsia="zh-CN"/>
              </w:rPr>
              <w:t>资金申请报告</w:t>
            </w:r>
            <w:r>
              <w:rPr>
                <w:rFonts w:hint="eastAsia" w:ascii="宋体" w:hAnsi="宋体" w:cs="宋体"/>
                <w:color w:val="auto"/>
                <w:sz w:val="24"/>
              </w:rPr>
              <w:t>内容主动完善，接到采购人修改通知后的响应时间等，得4分，存在部分响应缺陷或缺漏的得2分，未提供不得分。</w:t>
            </w:r>
          </w:p>
        </w:tc>
        <w:tc>
          <w:tcPr>
            <w:tcW w:w="550" w:type="dxa"/>
            <w:tcBorders>
              <w:tl2br w:val="nil"/>
              <w:tr2bl w:val="nil"/>
            </w:tcBorders>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w:t>
            </w:r>
          </w:p>
        </w:tc>
        <w:tc>
          <w:tcPr>
            <w:tcW w:w="500" w:type="dxa"/>
            <w:vMerge w:val="continue"/>
            <w:tcBorders>
              <w:tl2br w:val="nil"/>
              <w:tr2bl w:val="nil"/>
            </w:tcBorders>
            <w:vAlign w:val="center"/>
          </w:tcPr>
          <w:p>
            <w:pPr>
              <w:spacing w:line="360" w:lineRule="auto"/>
              <w:rPr>
                <w:rFonts w:hint="eastAsia" w:ascii="宋体" w:hAnsi="宋体" w:cs="宋体"/>
                <w:color w:val="auto"/>
                <w:sz w:val="24"/>
                <w:szCs w:val="24"/>
                <w:lang w:val="en-US" w:eastAsia="zh-CN"/>
              </w:rPr>
            </w:pPr>
          </w:p>
        </w:tc>
      </w:tr>
    </w:tbl>
    <w:p>
      <w:pPr>
        <w:pStyle w:val="9"/>
        <w:rPr>
          <w:rFonts w:hint="default"/>
          <w:lang w:val="en-US" w:eastAsia="zh-CN"/>
        </w:rPr>
      </w:pPr>
    </w:p>
    <w:p>
      <w:pPr>
        <w:pStyle w:val="7"/>
        <w:spacing w:line="360" w:lineRule="auto"/>
        <w:ind w:firstLine="0"/>
        <w:rPr>
          <w:rFonts w:ascii="宋体"/>
          <w:color w:val="000000"/>
          <w:sz w:val="24"/>
          <w:szCs w:val="24"/>
        </w:rPr>
      </w:pPr>
      <w:r>
        <w:rPr>
          <w:rFonts w:hint="eastAsia" w:ascii="宋体" w:hAnsi="宋体" w:cs="宋体"/>
          <w:color w:val="000000"/>
          <w:sz w:val="24"/>
          <w:szCs w:val="24"/>
        </w:rPr>
        <w:t>计分办法：</w:t>
      </w:r>
      <w:r>
        <w:rPr>
          <w:rFonts w:ascii="宋体" w:hAnsi="宋体" w:cs="宋体"/>
          <w:color w:val="000000"/>
          <w:sz w:val="24"/>
          <w:szCs w:val="24"/>
        </w:rPr>
        <w:t>1</w:t>
      </w:r>
      <w:r>
        <w:rPr>
          <w:rFonts w:hint="eastAsia" w:ascii="宋体" w:hAnsi="宋体" w:cs="宋体"/>
          <w:color w:val="000000"/>
          <w:sz w:val="24"/>
          <w:szCs w:val="24"/>
        </w:rPr>
        <w:t>、评定得分＝综合部分得分＋技术部分得分＋价格得分</w:t>
      </w:r>
    </w:p>
    <w:p>
      <w:pPr>
        <w:pStyle w:val="7"/>
        <w:spacing w:line="360" w:lineRule="auto"/>
        <w:ind w:left="1437" w:leftChars="570" w:hanging="240" w:hangingChars="1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、供应商的最终得分是所有评委分别对各供应商评分汇总后的算术平均值，各项分值计算时均按四舍五入方法精确到小数点后两位。</w:t>
      </w:r>
    </w:p>
    <w:p>
      <w:pPr>
        <w:pStyle w:val="7"/>
        <w:spacing w:line="360" w:lineRule="auto"/>
        <w:ind w:firstLine="0"/>
        <w:rPr>
          <w:rFonts w:ascii="宋体"/>
          <w:color w:val="000000"/>
          <w:sz w:val="24"/>
          <w:szCs w:val="24"/>
        </w:rPr>
      </w:pPr>
      <w:r>
        <w:rPr>
          <w:rFonts w:hint="eastAsia" w:ascii="宋体" w:hAnsi="宋体" w:cs="宋体"/>
          <w:color w:val="000000"/>
          <w:sz w:val="24"/>
          <w:szCs w:val="24"/>
        </w:rPr>
        <w:t>（五）推荐成交供应商</w:t>
      </w:r>
    </w:p>
    <w:p>
      <w:pPr>
        <w:pStyle w:val="21"/>
        <w:widowControl/>
        <w:spacing w:line="360" w:lineRule="auto"/>
        <w:rPr>
          <w:rFonts w:ascii="宋体"/>
          <w:color w:val="000000"/>
          <w:kern w:val="2"/>
        </w:rPr>
      </w:pPr>
      <w:r>
        <w:rPr>
          <w:rFonts w:ascii="宋体" w:hAnsi="宋体" w:cs="宋体"/>
          <w:color w:val="000000"/>
          <w:kern w:val="2"/>
        </w:rPr>
        <w:t xml:space="preserve">   1</w:t>
      </w:r>
      <w:r>
        <w:rPr>
          <w:rFonts w:hint="eastAsia" w:ascii="宋体" w:hAnsi="宋体" w:cs="宋体"/>
          <w:color w:val="000000"/>
          <w:kern w:val="2"/>
        </w:rPr>
        <w:t>、谈判小组应当根据综合评分情况，按照评审得分由高到低顺序推荐</w:t>
      </w:r>
      <w:r>
        <w:rPr>
          <w:rFonts w:ascii="宋体" w:hAnsi="宋体" w:cs="宋体"/>
          <w:color w:val="000000"/>
          <w:kern w:val="2"/>
        </w:rPr>
        <w:t>3</w:t>
      </w:r>
      <w:r>
        <w:rPr>
          <w:rFonts w:hint="eastAsia" w:ascii="宋体" w:hAnsi="宋体" w:cs="宋体"/>
          <w:color w:val="000000"/>
          <w:kern w:val="2"/>
        </w:rPr>
        <w:t>名以上成交候选供应商，并编写评审报告。评审得分相同的，按照最后报价由低到高的顺序推荐。评审得分且最后报价相同的，按照技术指标优劣顺序推荐。</w:t>
      </w:r>
    </w:p>
    <w:p>
      <w:pPr>
        <w:pStyle w:val="21"/>
        <w:widowControl/>
        <w:spacing w:line="360" w:lineRule="auto"/>
        <w:rPr>
          <w:rFonts w:ascii="宋体"/>
          <w:color w:val="000000"/>
          <w:kern w:val="2"/>
        </w:rPr>
      </w:pPr>
      <w:r>
        <w:rPr>
          <w:rFonts w:ascii="宋体" w:hAnsi="宋体" w:cs="宋体"/>
          <w:color w:val="000000"/>
          <w:kern w:val="2"/>
        </w:rPr>
        <w:t xml:space="preserve">   2</w:t>
      </w:r>
      <w:r>
        <w:rPr>
          <w:rFonts w:hint="eastAsia" w:ascii="宋体" w:hAnsi="宋体" w:cs="宋体"/>
          <w:color w:val="000000"/>
          <w:kern w:val="2"/>
        </w:rPr>
        <w:t>、评审报告应当由谈判小组全体人员</w:t>
      </w:r>
      <w:r>
        <w:fldChar w:fldCharType="begin"/>
      </w:r>
      <w:r>
        <w:instrText xml:space="preserve"> HYPERLINK "http://cpro.baidu.com/cpro/ui/uijs.php?adclass=0&amp;app_id=0&amp;c=news&amp;cf=1001&amp;ch=0&amp;di=128&amp;fv=0&amp;is_app=0&amp;jk=5107fdb6226ca555&amp;k=%C7%A9%D7%D6&amp;k0=%C7%A9%D7%D6&amp;kdi0=0&amp;luki=1&amp;n=10&amp;p=baidu&amp;q=baidusiteerror_cpr&amp;rb=0&amp;rs=1&amp;seller_id=1&amp;sid=55a56c22b6fd0751&amp;ssp2=1&amp;stid=0&amp;t=tpclicked3_hc&amp;tu=u2105128&amp;u=http://www.kuaiji.com/fagui/2168360&amp;urlid=0" \t "http://www.kuaiji.com/fagui/_blank" </w:instrText>
      </w:r>
      <w:r>
        <w:fldChar w:fldCharType="separate"/>
      </w:r>
      <w:r>
        <w:rPr>
          <w:rFonts w:hint="eastAsia" w:ascii="宋体" w:hAnsi="宋体" w:cs="宋体"/>
          <w:color w:val="000000"/>
          <w:kern w:val="2"/>
        </w:rPr>
        <w:t>签字</w:t>
      </w:r>
      <w:r>
        <w:rPr>
          <w:rFonts w:hint="eastAsia" w:ascii="宋体" w:hAnsi="宋体" w:cs="宋体"/>
          <w:color w:val="000000"/>
          <w:kern w:val="2"/>
        </w:rPr>
        <w:fldChar w:fldCharType="end"/>
      </w:r>
      <w:r>
        <w:rPr>
          <w:rFonts w:hint="eastAsia" w:ascii="宋体" w:hAnsi="宋体" w:cs="宋体"/>
          <w:color w:val="000000"/>
          <w:kern w:val="2"/>
        </w:rPr>
        <w:t>认可。谈判小组成员对评审报告有异议的，谈判小组按照少数服从多数的原则推荐成交候选</w:t>
      </w:r>
      <w:r>
        <w:fldChar w:fldCharType="begin"/>
      </w:r>
      <w:r>
        <w:instrText xml:space="preserve"> HYPERLINK "http://cpro.baidu.com/cpro/ui/uijs.php?adclass=0&amp;app_id=0&amp;c=news&amp;cf=1001&amp;ch=0&amp;di=128&amp;fv=0&amp;is_app=0&amp;jk=5107fdb6226ca555&amp;k=%B9%A9%D3%A6%C9%CC&amp;k0=%B9%A9%D3%A6%C9%CC&amp;kdi0=0&amp;luki=7&amp;n=10&amp;p=baidu&amp;q=baidusiteerror_cpr&amp;rb=0&amp;rs=1&amp;seller_id=1&amp;sid=55a56c22b6fd0751&amp;ssp2=1&amp;stid=0&amp;t=tpclicked3_hc&amp;tu=u2105128&amp;u=http://www.kuaiji.com/fagui/2168360&amp;urlid=0" \t "http://www.kuaiji.com/fagui/_blank" </w:instrText>
      </w:r>
      <w:r>
        <w:fldChar w:fldCharType="separate"/>
      </w:r>
      <w:r>
        <w:rPr>
          <w:rFonts w:hint="eastAsia" w:ascii="宋体" w:hAnsi="宋体" w:cs="宋体"/>
          <w:color w:val="000000"/>
          <w:kern w:val="2"/>
        </w:rPr>
        <w:t>供应商</w:t>
      </w:r>
      <w:r>
        <w:rPr>
          <w:rFonts w:hint="eastAsia" w:ascii="宋体" w:hAnsi="宋体" w:cs="宋体"/>
          <w:color w:val="000000"/>
          <w:kern w:val="2"/>
        </w:rPr>
        <w:fldChar w:fldCharType="end"/>
      </w:r>
      <w:r>
        <w:rPr>
          <w:rFonts w:hint="eastAsia" w:ascii="宋体" w:hAnsi="宋体" w:cs="宋体"/>
          <w:color w:val="000000"/>
          <w:kern w:val="2"/>
        </w:rPr>
        <w:t>，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1"/>
        <w:widowControl/>
        <w:spacing w:line="360" w:lineRule="auto"/>
        <w:rPr>
          <w:rFonts w:ascii="宋体"/>
          <w:color w:val="000000"/>
        </w:rPr>
      </w:pPr>
      <w:r>
        <w:rPr>
          <w:rFonts w:ascii="宋体" w:hAnsi="宋体" w:cs="宋体"/>
          <w:color w:val="000000"/>
          <w:kern w:val="2"/>
        </w:rPr>
        <w:t xml:space="preserve">  3</w:t>
      </w:r>
      <w:r>
        <w:rPr>
          <w:rFonts w:hint="eastAsia" w:ascii="宋体" w:hAnsi="宋体" w:cs="宋体"/>
          <w:color w:val="000000"/>
          <w:kern w:val="2"/>
        </w:rPr>
        <w:t>、</w:t>
      </w:r>
      <w:r>
        <w:fldChar w:fldCharType="begin"/>
      </w:r>
      <w:r>
        <w:instrText xml:space="preserve"> HYPERLINK "http://cpro.baidu.com/cpro/ui/uijs.php?adclass=0&amp;app_id=0&amp;c=news&amp;cf=1001&amp;ch=0&amp;di=128&amp;fv=0&amp;is_app=0&amp;jk=5107fdb6226ca555&amp;k=%B2%C9%B9%BA&amp;k0=%B2%C9%B9%BA&amp;kdi0=0&amp;luki=8&amp;n=10&amp;p=baidu&amp;q=baidusiteerror_cpr&amp;rb=0&amp;rs=1&amp;seller_id=1&amp;sid=55a56c22b6fd0751&amp;ssp2=1&amp;stid=0&amp;t=tpclicked3_hc&amp;tu=u2105128&amp;u=http://www.kuaiji.com/fagui/2168360&amp;urlid=0" \t "http://www.kuaiji.com/fagui/_blank" </w:instrText>
      </w:r>
      <w:r>
        <w:fldChar w:fldCharType="separate"/>
      </w:r>
      <w:r>
        <w:rPr>
          <w:rFonts w:hint="eastAsia" w:ascii="宋体" w:hAnsi="宋体" w:cs="宋体"/>
          <w:color w:val="000000"/>
          <w:kern w:val="2"/>
        </w:rPr>
        <w:t>采购</w:t>
      </w:r>
      <w:r>
        <w:rPr>
          <w:rFonts w:hint="eastAsia" w:ascii="宋体" w:hAnsi="宋体" w:cs="宋体"/>
          <w:color w:val="000000"/>
          <w:kern w:val="2"/>
        </w:rPr>
        <w:fldChar w:fldCharType="end"/>
      </w:r>
      <w:r>
        <w:rPr>
          <w:rFonts w:hint="eastAsia" w:ascii="宋体" w:hAnsi="宋体" w:cs="宋体"/>
          <w:color w:val="000000"/>
          <w:kern w:val="2"/>
        </w:rPr>
        <w:t>人应当在</w:t>
      </w:r>
      <w:r>
        <w:rPr>
          <w:rFonts w:ascii="宋体" w:hAnsi="宋体" w:cs="宋体"/>
          <w:color w:val="000000"/>
          <w:kern w:val="2"/>
        </w:rPr>
        <w:t>5</w:t>
      </w:r>
      <w:r>
        <w:rPr>
          <w:rFonts w:hint="eastAsia" w:ascii="宋体" w:hAnsi="宋体" w:cs="宋体"/>
          <w:color w:val="000000"/>
          <w:kern w:val="2"/>
        </w:rPr>
        <w:t>个工作日内，从评审报告提出的成交候选供应商中，按照排序由高到低的原则确定成交供应商，也可以书面授权谈判小组直接确定成交供应商。采购人逾期未确定成交供应商且不提出异议的，视为确定评审报告提出的排序第一的供应商为成交供应商。</w:t>
      </w:r>
    </w:p>
    <w:p>
      <w:bookmarkStart w:id="19" w:name="_Toc28693"/>
      <w:bookmarkStart w:id="20" w:name="_Toc515219968"/>
      <w:bookmarkStart w:id="21" w:name="_Toc515219907"/>
    </w:p>
    <w:p>
      <w:pPr>
        <w:pStyle w:val="3"/>
        <w:jc w:val="center"/>
        <w:rPr>
          <w:rFonts w:ascii="宋体"/>
          <w:color w:val="000000"/>
          <w:sz w:val="30"/>
          <w:szCs w:val="30"/>
        </w:rPr>
      </w:pPr>
      <w:bookmarkStart w:id="22" w:name="_Toc7933"/>
      <w:r>
        <w:rPr>
          <w:rFonts w:hint="eastAsia" w:ascii="宋体" w:hAnsi="宋体" w:cs="宋体"/>
          <w:color w:val="000000"/>
        </w:rPr>
        <w:t>第五章</w:t>
      </w:r>
      <w:r>
        <w:rPr>
          <w:rFonts w:ascii="宋体" w:hAnsi="宋体" w:cs="宋体"/>
          <w:color w:val="000000"/>
        </w:rPr>
        <w:t xml:space="preserve">  </w:t>
      </w:r>
      <w:r>
        <w:rPr>
          <w:rFonts w:hint="eastAsia" w:ascii="宋体" w:hAnsi="宋体" w:cs="宋体"/>
          <w:color w:val="000000"/>
        </w:rPr>
        <w:t>合同主要条款</w:t>
      </w:r>
      <w:bookmarkEnd w:id="19"/>
      <w:bookmarkEnd w:id="22"/>
    </w:p>
    <w:p>
      <w:pPr>
        <w:widowControl/>
        <w:spacing w:line="360" w:lineRule="auto"/>
        <w:jc w:val="center"/>
        <w:rPr>
          <w:rFonts w:ascii="宋体"/>
          <w:b/>
          <w:bCs/>
          <w:color w:val="000000"/>
          <w:spacing w:val="-20"/>
          <w:kern w:val="0"/>
          <w:sz w:val="36"/>
          <w:szCs w:val="36"/>
        </w:rPr>
      </w:pPr>
      <w:r>
        <w:rPr>
          <w:rFonts w:ascii="宋体" w:hAnsi="宋体" w:cs="宋体"/>
          <w:color w:val="000000"/>
          <w:sz w:val="32"/>
          <w:szCs w:val="32"/>
        </w:rPr>
        <w:t xml:space="preserve"> </w:t>
      </w:r>
      <w:r>
        <w:rPr>
          <w:rFonts w:hint="eastAsia" w:ascii="宋体" w:hAnsi="宋体" w:cs="宋体"/>
          <w:color w:val="000000"/>
          <w:sz w:val="32"/>
          <w:szCs w:val="32"/>
        </w:rPr>
        <w:t>（合同自拟）</w:t>
      </w:r>
      <w:r>
        <w:rPr>
          <w:rFonts w:ascii="宋体" w:hAnsi="宋体" w:cs="宋体"/>
          <w:color w:val="000000"/>
          <w:sz w:val="32"/>
          <w:szCs w:val="32"/>
        </w:rPr>
        <w:t xml:space="preserve"> </w:t>
      </w:r>
      <w:r>
        <w:rPr>
          <w:rFonts w:ascii="宋体"/>
          <w:color w:val="000000"/>
        </w:rPr>
        <w:br w:type="page"/>
      </w:r>
    </w:p>
    <w:p>
      <w:pPr>
        <w:widowControl/>
        <w:numPr>
          <w:ilvl w:val="0"/>
          <w:numId w:val="6"/>
        </w:numPr>
        <w:spacing w:line="360" w:lineRule="auto"/>
        <w:jc w:val="center"/>
        <w:outlineLvl w:val="0"/>
        <w:rPr>
          <w:rFonts w:hint="eastAsia" w:ascii="宋体" w:hAnsi="宋体" w:cs="宋体"/>
          <w:b/>
          <w:bCs/>
          <w:color w:val="000000"/>
          <w:spacing w:val="-20"/>
          <w:kern w:val="0"/>
          <w:sz w:val="36"/>
          <w:szCs w:val="36"/>
        </w:rPr>
      </w:pPr>
      <w:bookmarkStart w:id="23" w:name="_Toc16211"/>
      <w:r>
        <w:rPr>
          <w:rFonts w:ascii="宋体" w:hAnsi="宋体" w:cs="宋体"/>
          <w:b/>
          <w:bCs/>
          <w:color w:val="000000"/>
          <w:spacing w:val="-20"/>
          <w:kern w:val="0"/>
          <w:sz w:val="36"/>
          <w:szCs w:val="36"/>
        </w:rPr>
        <w:t xml:space="preserve"> </w:t>
      </w:r>
      <w:r>
        <w:rPr>
          <w:rFonts w:hint="eastAsia" w:ascii="宋体" w:hAnsi="宋体" w:cs="宋体"/>
          <w:b/>
          <w:bCs/>
          <w:color w:val="000000"/>
          <w:spacing w:val="-20"/>
          <w:kern w:val="0"/>
          <w:sz w:val="36"/>
          <w:szCs w:val="36"/>
        </w:rPr>
        <w:t>响应文件的组成</w:t>
      </w:r>
      <w:bookmarkEnd w:id="20"/>
      <w:bookmarkEnd w:id="21"/>
      <w:bookmarkEnd w:id="23"/>
    </w:p>
    <w:p>
      <w:pPr>
        <w:pStyle w:val="2"/>
        <w:widowControl w:val="0"/>
        <w:numPr>
          <w:ilvl w:val="0"/>
          <w:numId w:val="0"/>
        </w:numPr>
        <w:snapToGrid w:val="0"/>
        <w:jc w:val="left"/>
      </w:pPr>
    </w:p>
    <w:p>
      <w:pPr>
        <w:autoSpaceDE w:val="0"/>
        <w:autoSpaceDN w:val="0"/>
        <w:spacing w:line="360" w:lineRule="auto"/>
        <w:ind w:firstLine="567"/>
        <w:jc w:val="center"/>
        <w:outlineLvl w:val="1"/>
        <w:rPr>
          <w:rFonts w:ascii="黑体" w:eastAsia="黑体"/>
          <w:color w:val="000000"/>
          <w:kern w:val="0"/>
          <w:sz w:val="28"/>
          <w:szCs w:val="28"/>
        </w:rPr>
      </w:pPr>
      <w:bookmarkStart w:id="24" w:name="_Toc15942"/>
      <w:bookmarkStart w:id="25" w:name="_Toc30742"/>
      <w:r>
        <w:rPr>
          <w:rFonts w:hint="eastAsia" w:ascii="宋体" w:hAnsi="宋体" w:cs="宋体"/>
          <w:b/>
          <w:bCs/>
          <w:color w:val="000000"/>
          <w:kern w:val="0"/>
          <w:sz w:val="28"/>
          <w:szCs w:val="28"/>
        </w:rPr>
        <w:t>一、投标函</w:t>
      </w:r>
      <w:bookmarkEnd w:id="24"/>
      <w:bookmarkEnd w:id="25"/>
    </w:p>
    <w:p>
      <w:pPr>
        <w:autoSpaceDE w:val="0"/>
        <w:autoSpaceDN w:val="0"/>
        <w:spacing w:line="360" w:lineRule="auto"/>
        <w:ind w:firstLine="567"/>
        <w:jc w:val="left"/>
        <w:rPr>
          <w:rFonts w:hint="eastAsia" w:ascii="宋体" w:hAnsi="宋体" w:cs="宋体"/>
          <w:color w:val="000000"/>
          <w:kern w:val="0"/>
          <w:szCs w:val="22"/>
        </w:rPr>
      </w:pPr>
    </w:p>
    <w:p>
      <w:pPr>
        <w:autoSpaceDE w:val="0"/>
        <w:autoSpaceDN w:val="0"/>
        <w:spacing w:line="360" w:lineRule="auto"/>
        <w:jc w:val="left"/>
        <w:rPr>
          <w:rFonts w:hint="eastAsia" w:ascii="宋体" w:hAnsi="宋体" w:cs="宋体"/>
          <w:color w:val="000000"/>
          <w:kern w:val="0"/>
        </w:rPr>
      </w:pPr>
      <w:r>
        <w:rPr>
          <w:rFonts w:hint="eastAsia" w:ascii="宋体" w:hAnsi="宋体" w:cs="宋体"/>
          <w:color w:val="000000"/>
          <w:kern w:val="0"/>
          <w:u w:val="single"/>
        </w:rPr>
        <w:t xml:space="preserve">                  </w:t>
      </w:r>
      <w:r>
        <w:rPr>
          <w:rFonts w:hint="eastAsia" w:ascii="宋体" w:hAnsi="宋体" w:cs="宋体"/>
          <w:color w:val="000000"/>
          <w:kern w:val="0"/>
        </w:rPr>
        <w:t>（采购人）：</w:t>
      </w:r>
    </w:p>
    <w:p>
      <w:pPr>
        <w:autoSpaceDE w:val="0"/>
        <w:autoSpaceDN w:val="0"/>
        <w:spacing w:line="360" w:lineRule="auto"/>
        <w:jc w:val="left"/>
        <w:rPr>
          <w:rFonts w:hint="eastAsia" w:ascii="宋体" w:hAnsi="宋体" w:cs="宋体"/>
          <w:color w:val="000000"/>
          <w:kern w:val="0"/>
        </w:rPr>
      </w:pPr>
    </w:p>
    <w:p>
      <w:pPr>
        <w:numPr>
          <w:ilvl w:val="0"/>
          <w:numId w:val="7"/>
        </w:numPr>
        <w:autoSpaceDE w:val="0"/>
        <w:autoSpaceDN w:val="0"/>
        <w:spacing w:line="360" w:lineRule="auto"/>
        <w:ind w:firstLine="420" w:firstLineChars="200"/>
        <w:jc w:val="left"/>
        <w:rPr>
          <w:rFonts w:hint="eastAsia" w:ascii="宋体" w:hAnsi="宋体" w:cs="宋体"/>
          <w:color w:val="000000"/>
          <w:kern w:val="0"/>
          <w:szCs w:val="22"/>
        </w:rPr>
      </w:pPr>
      <w:r>
        <w:rPr>
          <w:rFonts w:hint="eastAsia" w:ascii="宋体" w:hAnsi="宋体" w:cs="宋体"/>
          <w:color w:val="000000"/>
          <w:kern w:val="0"/>
          <w:szCs w:val="22"/>
        </w:rPr>
        <w:t>根据已收到的</w:t>
      </w:r>
      <w:r>
        <w:rPr>
          <w:rFonts w:hint="eastAsia" w:ascii="宋体" w:hAnsi="宋体" w:cs="宋体"/>
          <w:color w:val="000000"/>
          <w:kern w:val="0"/>
          <w:szCs w:val="22"/>
          <w:u w:val="single"/>
        </w:rPr>
        <w:t xml:space="preserve">                               </w:t>
      </w:r>
      <w:r>
        <w:rPr>
          <w:rFonts w:hint="eastAsia" w:ascii="宋体" w:hAnsi="宋体" w:cs="宋体"/>
          <w:color w:val="000000"/>
          <w:kern w:val="0"/>
          <w:szCs w:val="22"/>
        </w:rPr>
        <w:t>项目的磋商文件，遵照《中华人民共和国政府采购法》等有关法律、法规的规定，经考察现场和研究磋商文件后，我方愿以人民币（大写）</w:t>
      </w:r>
      <w:r>
        <w:rPr>
          <w:rFonts w:hint="eastAsia" w:ascii="宋体" w:hAnsi="宋体" w:cs="宋体"/>
          <w:color w:val="000000"/>
          <w:kern w:val="0"/>
          <w:szCs w:val="22"/>
          <w:u w:val="single"/>
        </w:rPr>
        <w:t xml:space="preserve">                   </w:t>
      </w:r>
      <w:r>
        <w:rPr>
          <w:rFonts w:hint="eastAsia" w:ascii="宋体" w:hAnsi="宋体" w:cs="宋体"/>
          <w:color w:val="000000"/>
          <w:kern w:val="0"/>
          <w:szCs w:val="22"/>
        </w:rPr>
        <w:t>（RMB：¥</w:t>
      </w:r>
      <w:r>
        <w:rPr>
          <w:rFonts w:hint="eastAsia" w:ascii="宋体" w:hAnsi="宋体" w:cs="宋体"/>
          <w:color w:val="000000"/>
          <w:kern w:val="0"/>
          <w:szCs w:val="22"/>
          <w:u w:val="single"/>
        </w:rPr>
        <w:t xml:space="preserve">     </w:t>
      </w:r>
      <w:r>
        <w:rPr>
          <w:rFonts w:hint="eastAsia" w:ascii="宋体" w:hAnsi="宋体" w:cs="宋体"/>
          <w:color w:val="000000"/>
          <w:kern w:val="0"/>
          <w:szCs w:val="22"/>
        </w:rPr>
        <w:t>万元）的磋商报价，并按磋商文件的要求承担上述采购项目的供应工作。</w:t>
      </w:r>
    </w:p>
    <w:p>
      <w:pPr>
        <w:numPr>
          <w:ilvl w:val="0"/>
          <w:numId w:val="7"/>
        </w:numPr>
        <w:autoSpaceDE w:val="0"/>
        <w:autoSpaceDN w:val="0"/>
        <w:spacing w:line="360" w:lineRule="auto"/>
        <w:ind w:firstLine="420" w:firstLineChars="200"/>
        <w:jc w:val="left"/>
        <w:rPr>
          <w:rFonts w:hint="eastAsia" w:ascii="宋体" w:hAnsi="宋体" w:cs="宋体"/>
          <w:color w:val="000000"/>
          <w:kern w:val="0"/>
          <w:szCs w:val="22"/>
        </w:rPr>
      </w:pPr>
      <w:r>
        <w:rPr>
          <w:szCs w:val="21"/>
        </w:rPr>
        <w:t>我方承诺在</w:t>
      </w:r>
      <w:r>
        <w:rPr>
          <w:rFonts w:hint="eastAsia"/>
          <w:szCs w:val="21"/>
        </w:rPr>
        <w:t>磋商文件规定的磋商</w:t>
      </w:r>
      <w:r>
        <w:rPr>
          <w:szCs w:val="21"/>
        </w:rPr>
        <w:t>有效期内不修改、撤销</w:t>
      </w:r>
      <w:r>
        <w:rPr>
          <w:rFonts w:hint="eastAsia"/>
          <w:szCs w:val="21"/>
        </w:rPr>
        <w:t>磋商</w:t>
      </w:r>
      <w:r>
        <w:rPr>
          <w:szCs w:val="21"/>
        </w:rPr>
        <w:t>文件</w:t>
      </w:r>
      <w:r>
        <w:rPr>
          <w:rFonts w:hint="eastAsia"/>
          <w:szCs w:val="21"/>
        </w:rPr>
        <w:t>。</w:t>
      </w:r>
    </w:p>
    <w:p>
      <w:pPr>
        <w:autoSpaceDE w:val="0"/>
        <w:autoSpaceDN w:val="0"/>
        <w:spacing w:line="360" w:lineRule="auto"/>
        <w:ind w:firstLine="420" w:firstLineChars="200"/>
        <w:jc w:val="left"/>
        <w:rPr>
          <w:rFonts w:hint="eastAsia" w:ascii="宋体" w:hAnsi="宋体" w:cs="宋体"/>
          <w:color w:val="000000"/>
          <w:kern w:val="0"/>
          <w:szCs w:val="22"/>
        </w:rPr>
      </w:pPr>
      <w:r>
        <w:rPr>
          <w:rFonts w:hint="eastAsia" w:ascii="宋体" w:hAnsi="宋体" w:cs="宋体"/>
          <w:color w:val="000000"/>
          <w:kern w:val="0"/>
          <w:szCs w:val="22"/>
        </w:rPr>
        <w:t xml:space="preserve">    （三）你方的采购磋商文件、成交通知书和本磋商响应文件将构成约束我们双方的合同。</w:t>
      </w:r>
    </w:p>
    <w:p>
      <w:pPr>
        <w:autoSpaceDE w:val="0"/>
        <w:autoSpaceDN w:val="0"/>
        <w:spacing w:line="360" w:lineRule="auto"/>
        <w:jc w:val="left"/>
        <w:rPr>
          <w:rFonts w:hint="eastAsia" w:ascii="宋体" w:hAnsi="宋体" w:cs="宋体"/>
          <w:color w:val="000000"/>
          <w:kern w:val="0"/>
          <w:szCs w:val="22"/>
        </w:rPr>
      </w:pPr>
      <w:r>
        <w:rPr>
          <w:rFonts w:hint="eastAsia" w:ascii="宋体" w:hAnsi="宋体" w:cs="宋体"/>
          <w:color w:val="000000"/>
          <w:kern w:val="0"/>
          <w:szCs w:val="22"/>
        </w:rPr>
        <w:t xml:space="preserve">  </w:t>
      </w: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供应商（盖章）：</w:t>
      </w:r>
      <w:r>
        <w:rPr>
          <w:rFonts w:hint="eastAsia" w:ascii="宋体" w:hAnsi="宋体" w:cs="宋体"/>
          <w:color w:val="000000"/>
          <w:kern w:val="0"/>
          <w:szCs w:val="22"/>
          <w:u w:val="single"/>
        </w:rPr>
        <w:t xml:space="preserve">                                             </w:t>
      </w:r>
    </w:p>
    <w:p>
      <w:pPr>
        <w:autoSpaceDE w:val="0"/>
        <w:autoSpaceDN w:val="0"/>
        <w:spacing w:line="360" w:lineRule="auto"/>
        <w:ind w:firstLine="567"/>
        <w:jc w:val="left"/>
        <w:rPr>
          <w:rFonts w:hint="eastAsia" w:ascii="宋体" w:hAnsi="宋体" w:cs="宋体"/>
          <w:color w:val="000000"/>
          <w:kern w:val="0"/>
          <w:szCs w:val="22"/>
        </w:rPr>
      </w:pP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法定代表人或其委托代理人（签字或盖章）：</w:t>
      </w:r>
      <w:r>
        <w:rPr>
          <w:rFonts w:hint="eastAsia" w:ascii="宋体" w:hAnsi="宋体" w:cs="宋体"/>
          <w:color w:val="000000"/>
          <w:kern w:val="0"/>
          <w:szCs w:val="22"/>
          <w:u w:val="single"/>
        </w:rPr>
        <w:t xml:space="preserve">                     </w:t>
      </w:r>
    </w:p>
    <w:p>
      <w:pPr>
        <w:autoSpaceDE w:val="0"/>
        <w:autoSpaceDN w:val="0"/>
        <w:spacing w:line="360" w:lineRule="auto"/>
        <w:ind w:firstLine="567"/>
        <w:jc w:val="left"/>
        <w:rPr>
          <w:rFonts w:hint="eastAsia" w:ascii="宋体" w:hAnsi="宋体" w:cs="宋体"/>
          <w:color w:val="000000"/>
          <w:kern w:val="0"/>
          <w:szCs w:val="22"/>
        </w:rPr>
      </w:pP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单位地址：</w:t>
      </w:r>
    </w:p>
    <w:p>
      <w:pPr>
        <w:autoSpaceDE w:val="0"/>
        <w:autoSpaceDN w:val="0"/>
        <w:spacing w:line="360" w:lineRule="auto"/>
        <w:ind w:firstLine="567"/>
        <w:jc w:val="left"/>
        <w:rPr>
          <w:rFonts w:hint="eastAsia" w:ascii="宋体" w:hAnsi="宋体" w:cs="宋体"/>
          <w:color w:val="000000"/>
          <w:kern w:val="0"/>
          <w:szCs w:val="22"/>
        </w:rPr>
      </w:pP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 xml:space="preserve">邮政编码：                  </w:t>
      </w:r>
    </w:p>
    <w:p>
      <w:pPr>
        <w:autoSpaceDE w:val="0"/>
        <w:autoSpaceDN w:val="0"/>
        <w:spacing w:line="360" w:lineRule="auto"/>
        <w:ind w:firstLine="567"/>
        <w:jc w:val="left"/>
        <w:rPr>
          <w:rFonts w:hint="eastAsia" w:ascii="宋体" w:hAnsi="宋体" w:cs="宋体"/>
          <w:color w:val="000000"/>
          <w:kern w:val="0"/>
          <w:szCs w:val="22"/>
        </w:rPr>
      </w:pP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 xml:space="preserve">电话：               </w:t>
      </w:r>
    </w:p>
    <w:p>
      <w:pPr>
        <w:autoSpaceDE w:val="0"/>
        <w:autoSpaceDN w:val="0"/>
        <w:spacing w:line="360" w:lineRule="auto"/>
        <w:jc w:val="left"/>
        <w:rPr>
          <w:rFonts w:hint="eastAsia" w:ascii="宋体" w:hAnsi="宋体" w:cs="宋体"/>
          <w:color w:val="000000"/>
          <w:kern w:val="0"/>
          <w:szCs w:val="22"/>
        </w:rPr>
      </w:pPr>
    </w:p>
    <w:p>
      <w:pPr>
        <w:autoSpaceDE w:val="0"/>
        <w:autoSpaceDN w:val="0"/>
        <w:spacing w:line="360" w:lineRule="auto"/>
        <w:ind w:firstLine="567"/>
        <w:jc w:val="left"/>
        <w:rPr>
          <w:rFonts w:hint="eastAsia" w:ascii="宋体" w:hAnsi="宋体" w:cs="宋体"/>
          <w:color w:val="000000"/>
          <w:kern w:val="0"/>
          <w:szCs w:val="22"/>
        </w:rPr>
      </w:pPr>
      <w:r>
        <w:rPr>
          <w:rFonts w:hint="eastAsia" w:ascii="宋体" w:hAnsi="宋体" w:cs="宋体"/>
          <w:color w:val="000000"/>
          <w:kern w:val="0"/>
          <w:szCs w:val="22"/>
        </w:rPr>
        <w:tab/>
      </w:r>
      <w:r>
        <w:rPr>
          <w:rFonts w:hint="eastAsia" w:ascii="宋体" w:hAnsi="宋体" w:cs="宋体"/>
          <w:color w:val="000000"/>
          <w:kern w:val="0"/>
          <w:szCs w:val="22"/>
        </w:rPr>
        <w:tab/>
      </w:r>
      <w:r>
        <w:rPr>
          <w:rFonts w:hint="eastAsia" w:ascii="宋体" w:hAnsi="宋体" w:cs="宋体"/>
          <w:color w:val="000000"/>
          <w:kern w:val="0"/>
          <w:szCs w:val="22"/>
        </w:rPr>
        <w:tab/>
      </w:r>
      <w:r>
        <w:rPr>
          <w:rFonts w:hint="eastAsia" w:ascii="宋体" w:hAnsi="宋体" w:cs="宋体"/>
          <w:color w:val="000000"/>
          <w:kern w:val="0"/>
          <w:szCs w:val="22"/>
        </w:rPr>
        <w:tab/>
      </w:r>
      <w:r>
        <w:rPr>
          <w:rFonts w:hint="eastAsia" w:ascii="宋体" w:hAnsi="宋体" w:cs="宋体"/>
          <w:color w:val="000000"/>
          <w:kern w:val="0"/>
          <w:szCs w:val="22"/>
        </w:rPr>
        <w:tab/>
      </w:r>
      <w:r>
        <w:rPr>
          <w:rFonts w:hint="eastAsia" w:ascii="宋体" w:hAnsi="宋体" w:cs="宋体"/>
          <w:color w:val="000000"/>
          <w:kern w:val="0"/>
          <w:szCs w:val="22"/>
        </w:rPr>
        <w:t xml:space="preserve">                 </w:t>
      </w:r>
      <w:r>
        <w:rPr>
          <w:rFonts w:hint="eastAsia" w:ascii="宋体" w:hAnsi="宋体" w:cs="宋体"/>
          <w:color w:val="000000"/>
          <w:kern w:val="0"/>
          <w:szCs w:val="22"/>
        </w:rPr>
        <w:tab/>
      </w:r>
      <w:r>
        <w:rPr>
          <w:rFonts w:hint="eastAsia" w:ascii="宋体" w:hAnsi="宋体" w:cs="宋体"/>
          <w:color w:val="000000"/>
          <w:kern w:val="0"/>
          <w:szCs w:val="22"/>
        </w:rPr>
        <w:tab/>
      </w:r>
      <w:r>
        <w:rPr>
          <w:rFonts w:hint="eastAsia" w:ascii="宋体" w:hAnsi="宋体" w:cs="宋体"/>
          <w:color w:val="000000"/>
          <w:kern w:val="0"/>
          <w:szCs w:val="22"/>
        </w:rPr>
        <w:t>年    月    日</w:t>
      </w:r>
    </w:p>
    <w:p/>
    <w:p>
      <w:pPr>
        <w:pStyle w:val="2"/>
      </w:pPr>
    </w:p>
    <w:p/>
    <w:p>
      <w:pPr>
        <w:pStyle w:val="2"/>
      </w:pPr>
    </w:p>
    <w:p/>
    <w:p>
      <w:pPr>
        <w:pStyle w:val="2"/>
      </w:pPr>
    </w:p>
    <w:p>
      <w:pPr>
        <w:pStyle w:val="9"/>
      </w:pPr>
    </w:p>
    <w:p>
      <w:pPr>
        <w:spacing w:line="360" w:lineRule="auto"/>
        <w:jc w:val="both"/>
        <w:rPr>
          <w:rFonts w:ascii="宋体"/>
          <w:b/>
          <w:bCs/>
          <w:color w:val="000000"/>
          <w:sz w:val="36"/>
          <w:szCs w:val="36"/>
        </w:rPr>
      </w:pPr>
    </w:p>
    <w:p>
      <w:pPr>
        <w:autoSpaceDE w:val="0"/>
        <w:autoSpaceDN w:val="0"/>
        <w:spacing w:line="360" w:lineRule="auto"/>
        <w:ind w:firstLine="567"/>
        <w:jc w:val="center"/>
        <w:outlineLvl w:val="1"/>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二、</w:t>
      </w:r>
      <w:r>
        <w:rPr>
          <w:rFonts w:hint="eastAsia" w:ascii="宋体" w:hAnsi="宋体" w:cs="宋体"/>
          <w:b/>
          <w:bCs/>
          <w:color w:val="000000"/>
          <w:kern w:val="0"/>
          <w:sz w:val="28"/>
          <w:szCs w:val="28"/>
        </w:rPr>
        <w:t>法定代表人资格证明书</w:t>
      </w:r>
    </w:p>
    <w:p>
      <w:pPr>
        <w:spacing w:line="360" w:lineRule="auto"/>
        <w:rPr>
          <w:rFonts w:ascii="宋体"/>
          <w:color w:val="000000"/>
          <w:sz w:val="30"/>
          <w:szCs w:val="30"/>
        </w:rPr>
      </w:pPr>
    </w:p>
    <w:p>
      <w:pPr>
        <w:spacing w:line="360" w:lineRule="auto"/>
        <w:ind w:firstLine="480" w:firstLineChars="200"/>
        <w:rPr>
          <w:rFonts w:ascii="宋体"/>
          <w:color w:val="000000"/>
          <w:sz w:val="24"/>
          <w:szCs w:val="24"/>
        </w:rPr>
      </w:pPr>
      <w:r>
        <w:rPr>
          <w:rFonts w:hint="eastAsia" w:ascii="宋体" w:hAnsi="宋体" w:cs="宋体"/>
          <w:color w:val="000000"/>
          <w:sz w:val="24"/>
          <w:szCs w:val="24"/>
        </w:rPr>
        <w:t>谈判供应商名称：</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单位性质：</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成立时间：年月日</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经营期限：</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姓名：</w:t>
      </w:r>
      <w:r>
        <w:rPr>
          <w:rFonts w:ascii="宋体" w:hAnsi="宋体" w:cs="宋体"/>
          <w:color w:val="000000"/>
          <w:sz w:val="24"/>
          <w:szCs w:val="24"/>
        </w:rPr>
        <w:t xml:space="preserve"> </w:t>
      </w:r>
      <w:r>
        <w:rPr>
          <w:rFonts w:hint="eastAsia" w:ascii="宋体" w:hAnsi="宋体" w:cs="宋体"/>
          <w:color w:val="000000"/>
          <w:sz w:val="24"/>
          <w:szCs w:val="24"/>
        </w:rPr>
        <w:t>性别：</w:t>
      </w:r>
      <w:r>
        <w:rPr>
          <w:rFonts w:ascii="宋体" w:hAnsi="宋体" w:cs="宋体"/>
          <w:color w:val="000000"/>
          <w:sz w:val="24"/>
          <w:szCs w:val="24"/>
        </w:rPr>
        <w:t xml:space="preserve"> </w:t>
      </w:r>
      <w:r>
        <w:rPr>
          <w:rFonts w:hint="eastAsia" w:ascii="宋体" w:hAnsi="宋体" w:cs="宋体"/>
          <w:color w:val="000000"/>
          <w:sz w:val="24"/>
          <w:szCs w:val="24"/>
        </w:rPr>
        <w:t>年龄：</w:t>
      </w:r>
      <w:r>
        <w:rPr>
          <w:rFonts w:ascii="宋体" w:hAnsi="宋体" w:cs="宋体"/>
          <w:color w:val="000000"/>
          <w:sz w:val="24"/>
          <w:szCs w:val="24"/>
        </w:rPr>
        <w:t xml:space="preserve"> </w:t>
      </w:r>
      <w:r>
        <w:rPr>
          <w:rFonts w:hint="eastAsia" w:ascii="宋体" w:hAnsi="宋体" w:cs="宋体"/>
          <w:color w:val="000000"/>
          <w:sz w:val="24"/>
          <w:szCs w:val="24"/>
        </w:rPr>
        <w:t>职务：</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系（谈判供应商名称）的法定代表人。（附法定代表人身份证加盖公章复印件）</w:t>
      </w:r>
    </w:p>
    <w:p>
      <w:pPr>
        <w:spacing w:line="360" w:lineRule="auto"/>
        <w:ind w:firstLine="960" w:firstLineChars="400"/>
        <w:rPr>
          <w:rFonts w:ascii="宋体"/>
          <w:color w:val="000000"/>
          <w:sz w:val="24"/>
          <w:szCs w:val="24"/>
        </w:rPr>
      </w:pPr>
      <w:r>
        <w:rPr>
          <w:rFonts w:hint="eastAsia" w:ascii="宋体" w:hAnsi="宋体" w:cs="宋体"/>
          <w:color w:val="000000"/>
          <w:sz w:val="24"/>
          <w:szCs w:val="24"/>
        </w:rPr>
        <w:t>特此证明。</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rPr>
          <w:rFonts w:ascii="宋体"/>
          <w:color w:val="000000"/>
          <w:sz w:val="24"/>
          <w:szCs w:val="24"/>
        </w:rPr>
      </w:pPr>
    </w:p>
    <w:p>
      <w:pPr>
        <w:spacing w:line="360" w:lineRule="auto"/>
        <w:ind w:firstLine="4920" w:firstLineChars="2050"/>
        <w:rPr>
          <w:rFonts w:ascii="宋体"/>
          <w:color w:val="000000"/>
          <w:sz w:val="24"/>
          <w:szCs w:val="24"/>
        </w:rPr>
      </w:pPr>
    </w:p>
    <w:p>
      <w:pPr>
        <w:spacing w:line="360" w:lineRule="auto"/>
        <w:ind w:firstLine="4920" w:firstLineChars="2050"/>
        <w:rPr>
          <w:rFonts w:ascii="宋体"/>
          <w:color w:val="000000"/>
          <w:sz w:val="24"/>
          <w:szCs w:val="24"/>
        </w:rPr>
      </w:pPr>
    </w:p>
    <w:p>
      <w:pPr>
        <w:spacing w:line="360" w:lineRule="auto"/>
        <w:ind w:firstLine="2400" w:firstLineChars="1000"/>
        <w:rPr>
          <w:rFonts w:ascii="宋体"/>
          <w:color w:val="000000"/>
          <w:sz w:val="24"/>
          <w:szCs w:val="24"/>
        </w:rPr>
      </w:pPr>
      <w:r>
        <w:rPr>
          <w:rFonts w:hint="eastAsia" w:ascii="宋体" w:hAnsi="宋体" w:cs="宋体"/>
          <w:color w:val="000000"/>
          <w:sz w:val="24"/>
          <w:szCs w:val="24"/>
        </w:rPr>
        <w:t>谈判供应商：（盖单位章）　</w:t>
      </w:r>
    </w:p>
    <w:p>
      <w:pPr>
        <w:spacing w:line="360" w:lineRule="auto"/>
        <w:ind w:firstLine="2640" w:firstLineChars="1100"/>
        <w:rPr>
          <w:rFonts w:ascii="宋体"/>
          <w:color w:val="000000"/>
          <w:sz w:val="24"/>
          <w:szCs w:val="24"/>
        </w:rPr>
      </w:pPr>
    </w:p>
    <w:p>
      <w:pPr>
        <w:spacing w:line="360" w:lineRule="auto"/>
        <w:ind w:firstLine="3840" w:firstLineChars="160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spacing w:line="360" w:lineRule="auto"/>
        <w:rPr>
          <w:rFonts w:ascii="宋体"/>
          <w:color w:val="000000"/>
          <w:sz w:val="24"/>
          <w:szCs w:val="24"/>
        </w:rPr>
      </w:pPr>
    </w:p>
    <w:p>
      <w:pPr>
        <w:spacing w:line="360" w:lineRule="auto"/>
        <w:jc w:val="center"/>
        <w:rPr>
          <w:rFonts w:ascii="宋体"/>
          <w:b/>
          <w:bCs/>
          <w:color w:val="000000"/>
          <w:sz w:val="36"/>
          <w:szCs w:val="36"/>
        </w:rPr>
      </w:pPr>
      <w:r>
        <w:rPr>
          <w:rFonts w:ascii="宋体"/>
          <w:b/>
          <w:bCs/>
          <w:color w:val="000000"/>
          <w:sz w:val="36"/>
          <w:szCs w:val="36"/>
        </w:rPr>
        <w:br w:type="page"/>
      </w:r>
      <w:r>
        <w:rPr>
          <w:rFonts w:hint="eastAsia" w:ascii="宋体" w:hAnsi="宋体" w:cs="宋体"/>
          <w:b/>
          <w:bCs/>
          <w:color w:val="000000"/>
          <w:kern w:val="0"/>
          <w:sz w:val="28"/>
          <w:szCs w:val="28"/>
          <w:lang w:val="en-US" w:eastAsia="zh-CN"/>
        </w:rPr>
        <w:t>三、</w:t>
      </w:r>
      <w:r>
        <w:rPr>
          <w:rFonts w:hint="eastAsia" w:ascii="宋体" w:hAnsi="宋体" w:cs="宋体"/>
          <w:b/>
          <w:bCs/>
          <w:color w:val="000000"/>
          <w:kern w:val="0"/>
          <w:sz w:val="28"/>
          <w:szCs w:val="28"/>
        </w:rPr>
        <w:t xml:space="preserve"> 法定代表人授权委托书</w:t>
      </w:r>
    </w:p>
    <w:p>
      <w:pPr>
        <w:spacing w:line="360" w:lineRule="auto"/>
        <w:ind w:firstLine="602" w:firstLineChars="200"/>
        <w:jc w:val="center"/>
        <w:rPr>
          <w:rFonts w:ascii="宋体"/>
          <w:b/>
          <w:bCs/>
          <w:color w:val="000000"/>
          <w:sz w:val="30"/>
          <w:szCs w:val="30"/>
        </w:rPr>
      </w:pPr>
    </w:p>
    <w:p>
      <w:pPr>
        <w:spacing w:line="360" w:lineRule="auto"/>
        <w:jc w:val="left"/>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本授权委托书声明：我</w:t>
      </w:r>
      <w:r>
        <w:rPr>
          <w:rFonts w:ascii="宋体" w:hAnsi="宋体" w:cs="宋体"/>
          <w:color w:val="000000"/>
          <w:sz w:val="24"/>
          <w:szCs w:val="24"/>
          <w:u w:val="single"/>
        </w:rPr>
        <w:t xml:space="preserve">      </w:t>
      </w:r>
      <w:r>
        <w:rPr>
          <w:rFonts w:hint="eastAsia" w:ascii="宋体" w:hAnsi="宋体" w:cs="宋体"/>
          <w:color w:val="000000"/>
          <w:sz w:val="24"/>
          <w:szCs w:val="24"/>
          <w:u w:val="single"/>
        </w:rPr>
        <w:t>（</w:t>
      </w:r>
      <w:r>
        <w:rPr>
          <w:rFonts w:hint="eastAsia" w:ascii="宋体" w:hAnsi="宋体" w:cs="宋体"/>
          <w:color w:val="000000"/>
          <w:sz w:val="24"/>
          <w:szCs w:val="24"/>
        </w:rPr>
        <w:t>姓名）系（谈判供应商名称）的法定代表人，现授权委托（单位）的（姓名）为我的代理人，以我公司的名义参加（采购人全称）的（采购项目名称）的投标。授权代理人在该项目投标报名、资格审查、开标、评审、合同谈判过程中所签署的一切文件和处理与之有关的一切事务，我均予以承认。其法律后果由我方承担。</w:t>
      </w:r>
    </w:p>
    <w:p>
      <w:pPr>
        <w:spacing w:line="360" w:lineRule="auto"/>
        <w:rPr>
          <w:rFonts w:ascii="宋体"/>
          <w:color w:val="000000"/>
          <w:sz w:val="24"/>
          <w:szCs w:val="24"/>
        </w:rPr>
      </w:pPr>
      <w:r>
        <w:rPr>
          <w:rFonts w:hint="eastAsia" w:ascii="宋体" w:hAnsi="宋体" w:cs="宋体"/>
          <w:color w:val="000000"/>
          <w:sz w:val="24"/>
          <w:szCs w:val="24"/>
        </w:rPr>
        <w:t>代理人无转委托权，特此委托。</w:t>
      </w:r>
    </w:p>
    <w:p>
      <w:pPr>
        <w:spacing w:line="360" w:lineRule="auto"/>
        <w:rPr>
          <w:rFonts w:ascii="宋体"/>
          <w:color w:val="000000"/>
          <w:sz w:val="24"/>
          <w:szCs w:val="24"/>
        </w:rPr>
      </w:pPr>
      <w:r>
        <w:rPr>
          <w:rFonts w:hint="eastAsia" w:ascii="宋体" w:hAnsi="宋体" w:cs="宋体"/>
          <w:color w:val="000000"/>
          <w:sz w:val="24"/>
          <w:szCs w:val="24"/>
        </w:rPr>
        <w:t>另附：身份证加盖公章复印件（法定代表人身份证和代理人身份证）</w:t>
      </w:r>
    </w:p>
    <w:p>
      <w:pPr>
        <w:spacing w:line="360" w:lineRule="auto"/>
        <w:jc w:val="center"/>
        <w:rPr>
          <w:rFonts w:ascii="宋体"/>
          <w:color w:val="000000"/>
          <w:sz w:val="24"/>
          <w:szCs w:val="24"/>
        </w:rPr>
      </w:pPr>
    </w:p>
    <w:p>
      <w:pPr>
        <w:spacing w:line="360" w:lineRule="auto"/>
        <w:jc w:val="center"/>
        <w:rPr>
          <w:rFonts w:ascii="宋体"/>
          <w:color w:val="000000"/>
          <w:sz w:val="24"/>
          <w:szCs w:val="24"/>
        </w:rPr>
      </w:pPr>
    </w:p>
    <w:p>
      <w:pPr>
        <w:spacing w:line="360" w:lineRule="auto"/>
        <w:jc w:val="center"/>
        <w:rPr>
          <w:rFonts w:ascii="宋体"/>
          <w:color w:val="000000"/>
          <w:sz w:val="24"/>
          <w:szCs w:val="24"/>
        </w:rPr>
      </w:pPr>
    </w:p>
    <w:p>
      <w:pPr>
        <w:spacing w:line="360" w:lineRule="auto"/>
        <w:rPr>
          <w:rFonts w:ascii="宋体"/>
          <w:color w:val="000000"/>
          <w:sz w:val="24"/>
          <w:szCs w:val="24"/>
        </w:rPr>
      </w:pPr>
    </w:p>
    <w:p>
      <w:pPr>
        <w:spacing w:line="360" w:lineRule="auto"/>
        <w:jc w:val="center"/>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谈判供应商名称：</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（盖单位章）</w:t>
      </w:r>
    </w:p>
    <w:p>
      <w:pPr>
        <w:spacing w:line="360" w:lineRule="auto"/>
        <w:jc w:val="center"/>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法定代表人：</w:t>
      </w:r>
      <w:r>
        <w:rPr>
          <w:rFonts w:ascii="宋体" w:hAnsi="宋体" w:cs="宋体"/>
          <w:color w:val="000000"/>
          <w:sz w:val="24"/>
          <w:szCs w:val="24"/>
          <w:u w:val="single"/>
        </w:rPr>
        <w:t xml:space="preserve">             </w:t>
      </w:r>
      <w:r>
        <w:rPr>
          <w:rFonts w:hint="eastAsia" w:ascii="宋体" w:hAnsi="宋体" w:cs="宋体"/>
          <w:color w:val="000000"/>
          <w:sz w:val="24"/>
          <w:szCs w:val="24"/>
          <w:u w:val="single"/>
        </w:rPr>
        <w:t>（签字）</w:t>
      </w:r>
    </w:p>
    <w:p>
      <w:pPr>
        <w:spacing w:line="360" w:lineRule="auto"/>
        <w:jc w:val="center"/>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法定代表人身份证：</w:t>
      </w:r>
    </w:p>
    <w:p>
      <w:pPr>
        <w:spacing w:line="360" w:lineRule="auto"/>
        <w:jc w:val="center"/>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联系方式（手机）：</w:t>
      </w:r>
    </w:p>
    <w:p>
      <w:pPr>
        <w:spacing w:line="360" w:lineRule="auto"/>
        <w:jc w:val="center"/>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代理人：</w:t>
      </w:r>
      <w:r>
        <w:rPr>
          <w:rFonts w:ascii="宋体" w:hAnsi="宋体" w:cs="宋体"/>
          <w:color w:val="000000"/>
          <w:sz w:val="24"/>
          <w:szCs w:val="24"/>
        </w:rPr>
        <w:t xml:space="preserve"> </w:t>
      </w:r>
      <w:r>
        <w:rPr>
          <w:rFonts w:hint="eastAsia" w:ascii="宋体" w:hAnsi="宋体" w:cs="宋体"/>
          <w:color w:val="000000"/>
          <w:sz w:val="24"/>
          <w:szCs w:val="24"/>
        </w:rPr>
        <w:t>性别：</w:t>
      </w:r>
      <w:r>
        <w:rPr>
          <w:rFonts w:ascii="宋体" w:hAnsi="宋体" w:cs="宋体"/>
          <w:color w:val="000000"/>
          <w:sz w:val="24"/>
          <w:szCs w:val="24"/>
        </w:rPr>
        <w:t xml:space="preserve"> </w:t>
      </w:r>
      <w:r>
        <w:rPr>
          <w:rFonts w:hint="eastAsia" w:ascii="宋体" w:hAnsi="宋体" w:cs="宋体"/>
          <w:color w:val="000000"/>
          <w:sz w:val="24"/>
          <w:szCs w:val="24"/>
        </w:rPr>
        <w:t>年龄：</w:t>
      </w:r>
    </w:p>
    <w:p>
      <w:pPr>
        <w:spacing w:line="360" w:lineRule="auto"/>
        <w:jc w:val="center"/>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身份证号码：</w:t>
      </w:r>
      <w:r>
        <w:rPr>
          <w:rFonts w:ascii="宋体" w:hAnsi="宋体" w:cs="宋体"/>
          <w:color w:val="000000"/>
          <w:sz w:val="24"/>
          <w:szCs w:val="24"/>
        </w:rPr>
        <w:t xml:space="preserve"> </w:t>
      </w:r>
      <w:r>
        <w:rPr>
          <w:rFonts w:hint="eastAsia" w:ascii="宋体" w:hAnsi="宋体" w:cs="宋体"/>
          <w:color w:val="000000"/>
          <w:sz w:val="24"/>
          <w:szCs w:val="24"/>
        </w:rPr>
        <w:t>职务：</w:t>
      </w:r>
    </w:p>
    <w:p>
      <w:pPr>
        <w:spacing w:line="360" w:lineRule="auto"/>
        <w:jc w:val="center"/>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授权委托日期：年月日</w:t>
      </w: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both"/>
        <w:rPr>
          <w:rFonts w:cs="Times New Roman"/>
          <w:b/>
          <w:bCs/>
          <w:color w:val="000000"/>
          <w:position w:val="6"/>
          <w:sz w:val="36"/>
          <w:szCs w:val="36"/>
        </w:rPr>
      </w:pPr>
    </w:p>
    <w:p>
      <w:pPr>
        <w:spacing w:line="360" w:lineRule="auto"/>
        <w:jc w:val="center"/>
        <w:outlineLvl w:val="1"/>
        <w:rPr>
          <w:b/>
          <w:bCs/>
          <w:color w:val="000000"/>
          <w:szCs w:val="21"/>
        </w:rPr>
      </w:pPr>
      <w:bookmarkStart w:id="26" w:name="_Toc27185"/>
      <w:r>
        <w:rPr>
          <w:rFonts w:hint="eastAsia"/>
          <w:b/>
          <w:bCs/>
          <w:color w:val="000000"/>
          <w:sz w:val="28"/>
          <w:szCs w:val="28"/>
          <w:lang w:val="en-US" w:eastAsia="zh-CN"/>
        </w:rPr>
        <w:t>四</w:t>
      </w:r>
      <w:r>
        <w:rPr>
          <w:rFonts w:hint="eastAsia"/>
          <w:b/>
          <w:bCs/>
          <w:color w:val="000000"/>
          <w:sz w:val="28"/>
          <w:szCs w:val="28"/>
        </w:rPr>
        <w:t>、磋商报价表</w:t>
      </w:r>
      <w:bookmarkEnd w:id="26"/>
    </w:p>
    <w:p>
      <w:pPr>
        <w:spacing w:line="360" w:lineRule="auto"/>
        <w:ind w:right="365" w:rightChars="174" w:firstLine="420" w:firstLineChars="200"/>
        <w:rPr>
          <w:color w:val="000000"/>
          <w:szCs w:val="21"/>
        </w:rPr>
      </w:pPr>
    </w:p>
    <w:p>
      <w:pPr>
        <w:adjustRightInd w:val="0"/>
        <w:snapToGrid w:val="0"/>
        <w:spacing w:line="360" w:lineRule="auto"/>
        <w:ind w:left="-88" w:leftChars="-42"/>
        <w:rPr>
          <w:color w:val="000000"/>
          <w:szCs w:val="21"/>
        </w:rPr>
      </w:pPr>
      <w:bookmarkStart w:id="27" w:name="_Toc435041701"/>
      <w:r>
        <w:rPr>
          <w:color w:val="000000"/>
          <w:szCs w:val="21"/>
        </w:rPr>
        <w:t xml:space="preserve">              </w:t>
      </w:r>
      <w:bookmarkEnd w:id="27"/>
    </w:p>
    <w:p>
      <w:pPr>
        <w:adjustRightInd w:val="0"/>
        <w:snapToGrid w:val="0"/>
        <w:spacing w:line="360" w:lineRule="auto"/>
        <w:rPr>
          <w:color w:val="000000"/>
          <w:szCs w:val="21"/>
          <w:u w:val="single"/>
        </w:rPr>
      </w:pPr>
      <w:bookmarkStart w:id="28" w:name="_Toc435041702"/>
      <w:r>
        <w:rPr>
          <w:rFonts w:hint="eastAsia"/>
          <w:color w:val="000000"/>
          <w:sz w:val="24"/>
          <w:szCs w:val="24"/>
        </w:rPr>
        <w:t>项目名称：</w:t>
      </w:r>
      <w:bookmarkEnd w:id="28"/>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tbl>
      <w:tblPr>
        <w:tblStyle w:val="24"/>
        <w:tblpPr w:leftFromText="180" w:rightFromText="180" w:vertAnchor="text" w:horzAnchor="page" w:tblpX="1389" w:tblpY="336"/>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45"/>
        <w:gridCol w:w="225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rPr>
        <w:tc>
          <w:tcPr>
            <w:tcW w:w="3245" w:type="dxa"/>
            <w:noWrap w:val="0"/>
            <w:vAlign w:val="center"/>
          </w:tcPr>
          <w:p>
            <w:pPr>
              <w:pStyle w:val="86"/>
              <w:jc w:val="center"/>
              <w:rPr>
                <w:sz w:val="24"/>
              </w:rPr>
            </w:pPr>
            <w:r>
              <w:rPr>
                <w:sz w:val="24"/>
              </w:rPr>
              <w:t>磋商报价</w:t>
            </w:r>
          </w:p>
        </w:tc>
        <w:tc>
          <w:tcPr>
            <w:tcW w:w="2250" w:type="dxa"/>
            <w:noWrap w:val="0"/>
            <w:vAlign w:val="center"/>
          </w:tcPr>
          <w:p>
            <w:pPr>
              <w:pStyle w:val="86"/>
              <w:jc w:val="center"/>
              <w:rPr>
                <w:sz w:val="24"/>
              </w:rPr>
            </w:pPr>
            <w:r>
              <w:rPr>
                <w:rFonts w:hint="eastAsia"/>
                <w:sz w:val="24"/>
              </w:rPr>
              <w:t>合同履行期限</w:t>
            </w:r>
          </w:p>
        </w:tc>
        <w:tc>
          <w:tcPr>
            <w:tcW w:w="3435" w:type="dxa"/>
            <w:noWrap w:val="0"/>
            <w:vAlign w:val="center"/>
          </w:tcPr>
          <w:p>
            <w:pPr>
              <w:pStyle w:val="86"/>
              <w:jc w:val="center"/>
              <w:rPr>
                <w:sz w:val="24"/>
              </w:rPr>
            </w:pPr>
            <w:r>
              <w:rPr>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trPr>
        <w:tc>
          <w:tcPr>
            <w:tcW w:w="3245" w:type="dxa"/>
            <w:noWrap w:val="0"/>
            <w:vAlign w:val="center"/>
          </w:tcPr>
          <w:p>
            <w:pPr>
              <w:pStyle w:val="86"/>
              <w:spacing w:before="2"/>
              <w:rPr>
                <w:sz w:val="27"/>
              </w:rPr>
            </w:pPr>
          </w:p>
          <w:p>
            <w:pPr>
              <w:pStyle w:val="86"/>
              <w:spacing w:line="487" w:lineRule="auto"/>
              <w:ind w:left="108" w:right="1319"/>
              <w:rPr>
                <w:sz w:val="24"/>
              </w:rPr>
            </w:pPr>
            <w:r>
              <w:rPr>
                <w:sz w:val="24"/>
              </w:rPr>
              <w:t xml:space="preserve">小写： </w:t>
            </w:r>
          </w:p>
          <w:p>
            <w:pPr>
              <w:pStyle w:val="86"/>
              <w:spacing w:line="487" w:lineRule="auto"/>
              <w:ind w:left="108" w:right="1319"/>
              <w:rPr>
                <w:sz w:val="24"/>
              </w:rPr>
            </w:pPr>
            <w:r>
              <w:rPr>
                <w:sz w:val="24"/>
              </w:rPr>
              <w:t>大写：</w:t>
            </w:r>
          </w:p>
        </w:tc>
        <w:tc>
          <w:tcPr>
            <w:tcW w:w="2250" w:type="dxa"/>
            <w:noWrap w:val="0"/>
            <w:vAlign w:val="top"/>
          </w:tcPr>
          <w:p>
            <w:pPr>
              <w:pStyle w:val="86"/>
              <w:rPr>
                <w:rFonts w:ascii="Times New Roman"/>
                <w:sz w:val="24"/>
              </w:rPr>
            </w:pPr>
          </w:p>
        </w:tc>
        <w:tc>
          <w:tcPr>
            <w:tcW w:w="3435" w:type="dxa"/>
            <w:noWrap w:val="0"/>
            <w:vAlign w:val="top"/>
          </w:tcPr>
          <w:p>
            <w:pPr>
              <w:pStyle w:val="86"/>
              <w:rPr>
                <w:rFonts w:ascii="Times New Roman"/>
                <w:sz w:val="24"/>
              </w:rPr>
            </w:pPr>
          </w:p>
        </w:tc>
      </w:tr>
    </w:tbl>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spacing w:line="360" w:lineRule="auto"/>
        <w:ind w:left="92" w:leftChars="44"/>
        <w:rPr>
          <w:color w:val="000000"/>
          <w:sz w:val="24"/>
          <w:szCs w:val="24"/>
        </w:rPr>
      </w:pPr>
      <w:r>
        <w:rPr>
          <w:rFonts w:hint="eastAsia"/>
          <w:color w:val="000000"/>
          <w:sz w:val="24"/>
          <w:szCs w:val="24"/>
        </w:rPr>
        <w:t>注：</w:t>
      </w:r>
      <w:r>
        <w:rPr>
          <w:color w:val="000000"/>
          <w:sz w:val="24"/>
          <w:szCs w:val="24"/>
        </w:rPr>
        <w:t>1</w:t>
      </w:r>
      <w:r>
        <w:rPr>
          <w:rFonts w:hint="eastAsia"/>
          <w:color w:val="000000"/>
          <w:sz w:val="24"/>
          <w:szCs w:val="24"/>
        </w:rPr>
        <w:t>、所有价格均系用人民币万元表示。</w:t>
      </w:r>
    </w:p>
    <w:p>
      <w:pPr>
        <w:spacing w:line="360" w:lineRule="auto"/>
        <w:rPr>
          <w:color w:val="000000"/>
          <w:sz w:val="24"/>
          <w:szCs w:val="24"/>
        </w:rPr>
      </w:pPr>
      <w:r>
        <w:rPr>
          <w:color w:val="000000"/>
          <w:sz w:val="24"/>
          <w:szCs w:val="24"/>
        </w:rPr>
        <w:t>`</w:t>
      </w:r>
    </w:p>
    <w:p>
      <w:pPr>
        <w:spacing w:line="360" w:lineRule="auto"/>
        <w:ind w:left="435"/>
        <w:rPr>
          <w:sz w:val="24"/>
          <w:szCs w:val="24"/>
          <w:u w:val="single"/>
        </w:rPr>
      </w:pPr>
      <w:r>
        <w:rPr>
          <w:bCs/>
          <w:color w:val="000000"/>
          <w:sz w:val="24"/>
          <w:szCs w:val="24"/>
        </w:rPr>
        <w:t xml:space="preserve">           </w:t>
      </w:r>
      <w:r>
        <w:rPr>
          <w:rFonts w:hint="eastAsia"/>
          <w:sz w:val="24"/>
          <w:szCs w:val="24"/>
        </w:rPr>
        <w:t>供应商：</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sz w:val="24"/>
          <w:szCs w:val="24"/>
        </w:rPr>
        <w:t>（盖单位公章）</w:t>
      </w:r>
    </w:p>
    <w:p>
      <w:pPr>
        <w:spacing w:line="360" w:lineRule="auto"/>
        <w:ind w:right="560" w:firstLine="1680" w:firstLineChars="700"/>
        <w:rPr>
          <w:rFonts w:hint="eastAsia"/>
          <w:sz w:val="24"/>
          <w:szCs w:val="24"/>
        </w:rPr>
      </w:pPr>
      <w:r>
        <w:rPr>
          <w:rFonts w:hint="eastAsia"/>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color w:val="000000"/>
          <w:sz w:val="24"/>
          <w:szCs w:val="24"/>
        </w:rPr>
        <w:t>（签字或盖章）</w:t>
      </w:r>
    </w:p>
    <w:p>
      <w:pPr>
        <w:pStyle w:val="10"/>
        <w:spacing w:line="360" w:lineRule="auto"/>
        <w:ind w:firstLine="0"/>
        <w:jc w:val="center"/>
        <w:rPr>
          <w:rFonts w:cs="Times New Roman"/>
          <w:b/>
          <w:bCs/>
          <w:color w:val="000000"/>
          <w:position w:val="6"/>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z w:val="24"/>
          <w:szCs w:val="24"/>
        </w:rPr>
        <w:t xml:space="preserve">   </w:t>
      </w:r>
      <w:r>
        <w:rPr>
          <w:rFonts w:hint="eastAsia"/>
          <w:sz w:val="24"/>
          <w:szCs w:val="24"/>
        </w:rPr>
        <w:t>日</w:t>
      </w: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both"/>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spacing w:line="360" w:lineRule="auto"/>
        <w:jc w:val="center"/>
        <w:rPr>
          <w:b/>
          <w:color w:val="000000"/>
          <w:sz w:val="28"/>
          <w:szCs w:val="28"/>
        </w:rPr>
      </w:pPr>
      <w:r>
        <w:rPr>
          <w:rFonts w:hint="eastAsia" w:hAnsi="宋体"/>
          <w:b/>
          <w:color w:val="000000"/>
          <w:sz w:val="28"/>
          <w:szCs w:val="28"/>
          <w:lang w:val="en-US" w:eastAsia="zh-CN"/>
        </w:rPr>
        <w:t>二  次</w:t>
      </w:r>
      <w:r>
        <w:rPr>
          <w:b/>
          <w:color w:val="000000"/>
          <w:sz w:val="28"/>
          <w:szCs w:val="28"/>
        </w:rPr>
        <w:t xml:space="preserve"> </w:t>
      </w:r>
      <w:r>
        <w:rPr>
          <w:rFonts w:hint="eastAsia" w:hAnsi="宋体"/>
          <w:b/>
          <w:color w:val="000000"/>
          <w:sz w:val="28"/>
          <w:szCs w:val="28"/>
        </w:rPr>
        <w:t>报</w:t>
      </w:r>
      <w:r>
        <w:rPr>
          <w:b/>
          <w:color w:val="000000"/>
          <w:sz w:val="28"/>
          <w:szCs w:val="28"/>
        </w:rPr>
        <w:t xml:space="preserve">  </w:t>
      </w:r>
      <w:r>
        <w:rPr>
          <w:rFonts w:hint="eastAsia" w:hAnsi="宋体"/>
          <w:b/>
          <w:color w:val="000000"/>
          <w:sz w:val="28"/>
          <w:szCs w:val="28"/>
        </w:rPr>
        <w:t>价</w:t>
      </w:r>
      <w:r>
        <w:rPr>
          <w:b/>
          <w:color w:val="000000"/>
          <w:sz w:val="28"/>
          <w:szCs w:val="28"/>
        </w:rPr>
        <w:t xml:space="preserve">  </w:t>
      </w:r>
      <w:r>
        <w:rPr>
          <w:rFonts w:hint="eastAsia" w:hAnsi="宋体"/>
          <w:b/>
          <w:color w:val="000000"/>
          <w:sz w:val="28"/>
          <w:szCs w:val="28"/>
        </w:rPr>
        <w:t>表</w:t>
      </w:r>
    </w:p>
    <w:p>
      <w:pPr>
        <w:spacing w:line="360" w:lineRule="auto"/>
        <w:jc w:val="center"/>
        <w:rPr>
          <w:b/>
          <w:color w:val="000000"/>
          <w:szCs w:val="21"/>
        </w:rPr>
      </w:pPr>
    </w:p>
    <w:p>
      <w:pPr>
        <w:adjustRightInd w:val="0"/>
        <w:snapToGrid w:val="0"/>
        <w:spacing w:line="360" w:lineRule="auto"/>
        <w:ind w:left="-88" w:leftChars="-42"/>
        <w:rPr>
          <w:color w:val="000000"/>
          <w:szCs w:val="21"/>
        </w:rPr>
      </w:pPr>
      <w:r>
        <w:rPr>
          <w:color w:val="000000"/>
          <w:szCs w:val="21"/>
        </w:rPr>
        <w:t xml:space="preserve">         </w:t>
      </w:r>
    </w:p>
    <w:p>
      <w:pPr>
        <w:adjustRightInd w:val="0"/>
        <w:snapToGrid w:val="0"/>
        <w:spacing w:line="360" w:lineRule="auto"/>
        <w:rPr>
          <w:color w:val="000000"/>
          <w:szCs w:val="21"/>
        </w:rPr>
      </w:pPr>
      <w:r>
        <w:rPr>
          <w:rFonts w:hint="eastAsia"/>
          <w:color w:val="000000"/>
          <w:szCs w:val="21"/>
        </w:rPr>
        <w:t>项目名称：</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tbl>
      <w:tblPr>
        <w:tblStyle w:val="24"/>
        <w:tblpPr w:leftFromText="180" w:rightFromText="180" w:vertAnchor="text" w:horzAnchor="page" w:tblpX="1389" w:tblpY="336"/>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45"/>
        <w:gridCol w:w="225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rPr>
        <w:tc>
          <w:tcPr>
            <w:tcW w:w="3245" w:type="dxa"/>
            <w:noWrap w:val="0"/>
            <w:vAlign w:val="center"/>
          </w:tcPr>
          <w:p>
            <w:pPr>
              <w:pStyle w:val="86"/>
              <w:jc w:val="center"/>
              <w:rPr>
                <w:sz w:val="24"/>
              </w:rPr>
            </w:pPr>
            <w:r>
              <w:rPr>
                <w:rFonts w:hint="eastAsia"/>
                <w:sz w:val="24"/>
              </w:rPr>
              <w:t>最终</w:t>
            </w:r>
            <w:r>
              <w:rPr>
                <w:sz w:val="24"/>
              </w:rPr>
              <w:t>磋商报价</w:t>
            </w:r>
          </w:p>
        </w:tc>
        <w:tc>
          <w:tcPr>
            <w:tcW w:w="2250" w:type="dxa"/>
            <w:noWrap w:val="0"/>
            <w:vAlign w:val="center"/>
          </w:tcPr>
          <w:p>
            <w:pPr>
              <w:pStyle w:val="86"/>
              <w:jc w:val="center"/>
              <w:rPr>
                <w:sz w:val="24"/>
              </w:rPr>
            </w:pPr>
            <w:r>
              <w:rPr>
                <w:rFonts w:hint="eastAsia"/>
                <w:sz w:val="24"/>
              </w:rPr>
              <w:t>合同履行期限</w:t>
            </w:r>
          </w:p>
        </w:tc>
        <w:tc>
          <w:tcPr>
            <w:tcW w:w="3435" w:type="dxa"/>
            <w:noWrap w:val="0"/>
            <w:vAlign w:val="center"/>
          </w:tcPr>
          <w:p>
            <w:pPr>
              <w:pStyle w:val="86"/>
              <w:jc w:val="center"/>
              <w:rPr>
                <w:sz w:val="24"/>
              </w:rPr>
            </w:pPr>
            <w:r>
              <w:rPr>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2" w:hRule="atLeast"/>
        </w:trPr>
        <w:tc>
          <w:tcPr>
            <w:tcW w:w="3245" w:type="dxa"/>
            <w:noWrap w:val="0"/>
            <w:vAlign w:val="center"/>
          </w:tcPr>
          <w:p>
            <w:pPr>
              <w:pStyle w:val="86"/>
              <w:spacing w:before="2"/>
              <w:rPr>
                <w:sz w:val="27"/>
              </w:rPr>
            </w:pPr>
          </w:p>
          <w:p>
            <w:pPr>
              <w:pStyle w:val="86"/>
              <w:spacing w:line="487" w:lineRule="auto"/>
              <w:ind w:left="108" w:right="1319"/>
              <w:rPr>
                <w:sz w:val="24"/>
              </w:rPr>
            </w:pPr>
            <w:r>
              <w:rPr>
                <w:sz w:val="24"/>
              </w:rPr>
              <w:t xml:space="preserve">小写： </w:t>
            </w:r>
          </w:p>
          <w:p>
            <w:pPr>
              <w:pStyle w:val="86"/>
              <w:spacing w:line="487" w:lineRule="auto"/>
              <w:ind w:left="108" w:right="1319"/>
              <w:rPr>
                <w:sz w:val="24"/>
              </w:rPr>
            </w:pPr>
            <w:r>
              <w:rPr>
                <w:sz w:val="24"/>
              </w:rPr>
              <w:t>大写：</w:t>
            </w:r>
          </w:p>
        </w:tc>
        <w:tc>
          <w:tcPr>
            <w:tcW w:w="2250" w:type="dxa"/>
            <w:noWrap w:val="0"/>
            <w:vAlign w:val="top"/>
          </w:tcPr>
          <w:p>
            <w:pPr>
              <w:pStyle w:val="86"/>
              <w:rPr>
                <w:rFonts w:ascii="Times New Roman"/>
                <w:sz w:val="24"/>
              </w:rPr>
            </w:pPr>
          </w:p>
        </w:tc>
        <w:tc>
          <w:tcPr>
            <w:tcW w:w="3435" w:type="dxa"/>
            <w:noWrap w:val="0"/>
            <w:vAlign w:val="top"/>
          </w:tcPr>
          <w:p>
            <w:pPr>
              <w:pStyle w:val="86"/>
              <w:rPr>
                <w:rFonts w:ascii="Times New Roman"/>
                <w:sz w:val="24"/>
              </w:rPr>
            </w:pPr>
          </w:p>
        </w:tc>
      </w:tr>
    </w:tbl>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87"/>
        <w:rPr>
          <w:rFonts w:ascii="Times New Roman" w:hAnsi="Times New Roman" w:eastAsia="宋体"/>
          <w:sz w:val="24"/>
          <w:szCs w:val="24"/>
        </w:rPr>
      </w:pPr>
      <w:r>
        <w:rPr>
          <w:rFonts w:hint="eastAsia" w:ascii="Times New Roman" w:hAnsi="宋体" w:eastAsia="宋体"/>
          <w:color w:val="000000"/>
          <w:sz w:val="24"/>
          <w:szCs w:val="24"/>
        </w:rPr>
        <w:t>注：</w:t>
      </w:r>
      <w:r>
        <w:rPr>
          <w:rFonts w:ascii="Times New Roman" w:hAnsi="宋体" w:eastAsia="宋体"/>
          <w:color w:val="000000"/>
          <w:sz w:val="24"/>
          <w:szCs w:val="24"/>
        </w:rPr>
        <w:t xml:space="preserve"> </w:t>
      </w:r>
      <w:r>
        <w:rPr>
          <w:rFonts w:ascii="Times New Roman" w:hAnsi="Times New Roman" w:eastAsia="宋体"/>
          <w:sz w:val="24"/>
          <w:szCs w:val="24"/>
        </w:rPr>
        <w:t>1</w:t>
      </w:r>
      <w:r>
        <w:rPr>
          <w:rFonts w:hint="eastAsia" w:ascii="Times New Roman" w:hAnsi="宋体" w:eastAsia="宋体"/>
          <w:sz w:val="24"/>
          <w:szCs w:val="24"/>
        </w:rPr>
        <w:t>、所有价格均系用人民币</w:t>
      </w:r>
      <w:r>
        <w:rPr>
          <w:rFonts w:hint="eastAsia" w:ascii="Times New Roman" w:hAnsi="宋体" w:eastAsia="宋体"/>
          <w:sz w:val="24"/>
          <w:szCs w:val="24"/>
          <w:lang w:val="en-US" w:eastAsia="zh-CN"/>
        </w:rPr>
        <w:t>万元</w:t>
      </w:r>
      <w:r>
        <w:rPr>
          <w:rFonts w:hint="eastAsia" w:ascii="Times New Roman" w:hAnsi="宋体" w:eastAsia="宋体"/>
          <w:sz w:val="24"/>
          <w:szCs w:val="24"/>
        </w:rPr>
        <w:t>表示。</w:t>
      </w:r>
    </w:p>
    <w:p>
      <w:pPr>
        <w:pStyle w:val="87"/>
        <w:ind w:left="942" w:leftChars="277" w:hanging="360" w:hangingChars="150"/>
        <w:rPr>
          <w:rFonts w:ascii="Times New Roman" w:hAnsi="Times New Roman" w:eastAsia="宋体"/>
          <w:sz w:val="24"/>
          <w:szCs w:val="24"/>
        </w:rPr>
      </w:pPr>
      <w:r>
        <w:rPr>
          <w:rFonts w:ascii="Times New Roman" w:hAnsi="Times New Roman" w:eastAsia="宋体"/>
          <w:sz w:val="24"/>
          <w:szCs w:val="24"/>
        </w:rPr>
        <w:t>2</w:t>
      </w:r>
      <w:r>
        <w:rPr>
          <w:rFonts w:hint="eastAsia" w:ascii="Times New Roman" w:hAnsi="宋体" w:eastAsia="宋体"/>
          <w:sz w:val="24"/>
          <w:szCs w:val="24"/>
        </w:rPr>
        <w:t>、本表不装订在响应文件中，</w:t>
      </w:r>
      <w:r>
        <w:rPr>
          <w:rFonts w:hint="eastAsia" w:ascii="Times New Roman" w:hAnsi="宋体" w:eastAsia="宋体"/>
          <w:sz w:val="24"/>
          <w:szCs w:val="24"/>
          <w:lang w:eastAsia="zh-CN"/>
        </w:rPr>
        <w:t>磋商</w:t>
      </w:r>
      <w:r>
        <w:rPr>
          <w:rFonts w:hint="eastAsia" w:ascii="Times New Roman" w:hAnsi="宋体" w:eastAsia="宋体"/>
          <w:sz w:val="24"/>
          <w:szCs w:val="24"/>
        </w:rPr>
        <w:t>供应商将加盖公章的空白本表带到</w:t>
      </w:r>
      <w:r>
        <w:rPr>
          <w:rFonts w:hint="eastAsia" w:ascii="Times New Roman" w:hAnsi="宋体" w:eastAsia="宋体"/>
          <w:sz w:val="24"/>
          <w:szCs w:val="24"/>
          <w:lang w:eastAsia="zh-CN"/>
        </w:rPr>
        <w:t>磋商</w:t>
      </w:r>
      <w:r>
        <w:rPr>
          <w:rFonts w:hint="eastAsia" w:ascii="Times New Roman" w:hAnsi="宋体" w:eastAsia="宋体"/>
          <w:sz w:val="24"/>
          <w:szCs w:val="24"/>
        </w:rPr>
        <w:t>现场，最后报价时填写提交。</w:t>
      </w:r>
    </w:p>
    <w:p>
      <w:pPr>
        <w:pStyle w:val="13"/>
        <w:spacing w:line="360" w:lineRule="auto"/>
        <w:ind w:firstLine="600" w:firstLineChars="250"/>
        <w:rPr>
          <w:rFonts w:ascii="Times New Roman" w:hAnsi="Times New Roman"/>
          <w:color w:val="000000"/>
          <w:sz w:val="24"/>
          <w:szCs w:val="24"/>
        </w:rPr>
      </w:pPr>
      <w:r>
        <w:rPr>
          <w:rFonts w:ascii="Times New Roman" w:hAnsi="Times New Roman"/>
          <w:color w:val="000000"/>
          <w:sz w:val="24"/>
          <w:szCs w:val="24"/>
        </w:rPr>
        <w:t>3</w:t>
      </w:r>
      <w:r>
        <w:rPr>
          <w:rFonts w:hint="eastAsia" w:ascii="Times New Roman" w:hAnsi="宋体"/>
          <w:color w:val="000000"/>
          <w:sz w:val="24"/>
          <w:szCs w:val="24"/>
        </w:rPr>
        <w:t>、未按要求提交《最后报价表》的视同以提交的响应文件中“报价表”为准。</w:t>
      </w:r>
    </w:p>
    <w:p>
      <w:pPr>
        <w:spacing w:line="360" w:lineRule="auto"/>
        <w:ind w:left="435"/>
        <w:rPr>
          <w:rFonts w:hint="eastAsia"/>
          <w:bCs/>
          <w:color w:val="000000"/>
          <w:sz w:val="24"/>
          <w:szCs w:val="24"/>
        </w:rPr>
      </w:pPr>
      <w:r>
        <w:rPr>
          <w:bCs/>
          <w:color w:val="000000"/>
          <w:sz w:val="24"/>
          <w:szCs w:val="24"/>
        </w:rPr>
        <w:t xml:space="preserve">     </w:t>
      </w:r>
      <w:r>
        <w:rPr>
          <w:rFonts w:hint="eastAsia"/>
          <w:bCs/>
          <w:color w:val="000000"/>
          <w:sz w:val="24"/>
          <w:szCs w:val="24"/>
        </w:rPr>
        <w:t xml:space="preserve">                   </w:t>
      </w:r>
    </w:p>
    <w:p>
      <w:pPr>
        <w:spacing w:line="360" w:lineRule="auto"/>
        <w:ind w:left="435"/>
        <w:rPr>
          <w:rFonts w:hint="eastAsia"/>
          <w:bCs/>
          <w:color w:val="000000"/>
          <w:sz w:val="24"/>
          <w:szCs w:val="24"/>
        </w:rPr>
      </w:pPr>
    </w:p>
    <w:p>
      <w:pPr>
        <w:spacing w:line="360" w:lineRule="auto"/>
        <w:ind w:firstLine="1440" w:firstLineChars="600"/>
        <w:rPr>
          <w:sz w:val="24"/>
          <w:szCs w:val="24"/>
          <w:u w:val="single"/>
        </w:rPr>
      </w:pPr>
      <w:r>
        <w:rPr>
          <w:rFonts w:hint="eastAsia"/>
          <w:sz w:val="24"/>
          <w:szCs w:val="24"/>
        </w:rPr>
        <w:t>供应商：</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sz w:val="24"/>
          <w:szCs w:val="24"/>
        </w:rPr>
        <w:t>（盖单位公章）</w:t>
      </w:r>
    </w:p>
    <w:p>
      <w:pPr>
        <w:spacing w:line="360" w:lineRule="auto"/>
        <w:ind w:right="560"/>
        <w:jc w:val="right"/>
        <w:rPr>
          <w:rFonts w:hint="eastAsia"/>
          <w:sz w:val="24"/>
          <w:szCs w:val="24"/>
        </w:rPr>
      </w:pPr>
      <w:r>
        <w:rPr>
          <w:rFonts w:hint="eastAsia"/>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color w:val="000000"/>
          <w:sz w:val="24"/>
          <w:szCs w:val="24"/>
        </w:rPr>
        <w:t>（签字或盖章）</w:t>
      </w:r>
    </w:p>
    <w:p>
      <w:pPr>
        <w:spacing w:line="360" w:lineRule="auto"/>
        <w:ind w:right="560" w:firstLine="4920" w:firstLineChars="2050"/>
        <w:rPr>
          <w:rFonts w:hint="eastAsia"/>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z w:val="24"/>
          <w:szCs w:val="24"/>
        </w:rPr>
        <w:t xml:space="preserve">   </w:t>
      </w:r>
      <w:r>
        <w:rPr>
          <w:rFonts w:hint="eastAsia"/>
          <w:sz w:val="24"/>
          <w:szCs w:val="24"/>
        </w:rPr>
        <w:t>日</w:t>
      </w: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numPr>
          <w:ilvl w:val="0"/>
          <w:numId w:val="8"/>
        </w:numPr>
        <w:spacing w:line="360" w:lineRule="auto"/>
        <w:ind w:firstLine="0"/>
        <w:jc w:val="center"/>
        <w:rPr>
          <w:rFonts w:hint="eastAsia" w:cs="Times New Roman"/>
          <w:b/>
          <w:bCs/>
          <w:color w:val="000000"/>
          <w:position w:val="6"/>
          <w:sz w:val="36"/>
          <w:szCs w:val="36"/>
          <w:lang w:val="en-US" w:eastAsia="zh-CN"/>
        </w:rPr>
      </w:pPr>
      <w:r>
        <w:rPr>
          <w:rFonts w:hint="eastAsia" w:cs="Times New Roman"/>
          <w:b/>
          <w:bCs/>
          <w:color w:val="000000"/>
          <w:position w:val="6"/>
          <w:sz w:val="36"/>
          <w:szCs w:val="36"/>
          <w:lang w:val="en-US" w:eastAsia="zh-CN"/>
        </w:rPr>
        <w:t>资格证明文件</w:t>
      </w:r>
    </w:p>
    <w:p>
      <w:pPr>
        <w:pStyle w:val="10"/>
        <w:numPr>
          <w:ilvl w:val="0"/>
          <w:numId w:val="0"/>
        </w:numPr>
        <w:spacing w:line="360" w:lineRule="auto"/>
        <w:jc w:val="center"/>
        <w:rPr>
          <w:rFonts w:hint="eastAsia" w:eastAsia="宋体" w:cs="Times New Roman"/>
          <w:b/>
          <w:bCs/>
          <w:color w:val="000000"/>
          <w:position w:val="6"/>
          <w:sz w:val="36"/>
          <w:szCs w:val="36"/>
          <w:lang w:val="en-US" w:eastAsia="zh-CN"/>
        </w:rPr>
      </w:pPr>
      <w:r>
        <w:rPr>
          <w:rFonts w:hint="eastAsia" w:cs="Times New Roman"/>
          <w:b/>
          <w:bCs/>
          <w:color w:val="000000"/>
          <w:position w:val="6"/>
          <w:sz w:val="36"/>
          <w:szCs w:val="36"/>
          <w:lang w:val="en-US" w:eastAsia="zh-CN"/>
        </w:rPr>
        <w:t>（格式自拟）</w:t>
      </w:r>
    </w:p>
    <w:p>
      <w:pPr>
        <w:pStyle w:val="10"/>
        <w:spacing w:line="360" w:lineRule="auto"/>
        <w:ind w:firstLine="0"/>
        <w:rPr>
          <w:rFonts w:cs="Times New Roman"/>
          <w:color w:val="000000"/>
          <w:kern w:val="0"/>
          <w:sz w:val="24"/>
          <w:szCs w:val="24"/>
        </w:rPr>
      </w:pPr>
    </w:p>
    <w:p>
      <w:pPr>
        <w:pStyle w:val="10"/>
        <w:spacing w:line="360" w:lineRule="auto"/>
        <w:ind w:firstLine="0"/>
        <w:jc w:val="both"/>
        <w:rPr>
          <w:rFonts w:cs="Times New Roman"/>
          <w:b/>
          <w:bCs/>
          <w:color w:val="000000"/>
          <w:position w:val="6"/>
          <w:sz w:val="36"/>
          <w:szCs w:val="36"/>
        </w:rPr>
      </w:pPr>
    </w:p>
    <w:p>
      <w:pPr>
        <w:pStyle w:val="10"/>
        <w:spacing w:line="360" w:lineRule="auto"/>
        <w:ind w:firstLine="240" w:firstLineChars="100"/>
        <w:rPr>
          <w:rFonts w:cs="Times New Roman"/>
          <w:color w:val="000000"/>
          <w:kern w:val="0"/>
          <w:sz w:val="24"/>
          <w:szCs w:val="24"/>
        </w:rPr>
      </w:pPr>
      <w:r>
        <w:rPr>
          <w:rFonts w:hint="eastAsia"/>
          <w:color w:val="000000"/>
          <w:sz w:val="24"/>
          <w:szCs w:val="24"/>
          <w:shd w:val="clear" w:color="auto" w:fill="FFFFFF"/>
        </w:rPr>
        <w:t>列入失信惩戒对象、失信被执行人名单的单位和个人不允许参加投标，投标人应当自行通过</w:t>
      </w:r>
      <w:r>
        <w:rPr>
          <w:rFonts w:hint="eastAsia"/>
          <w:color w:val="000000"/>
          <w:sz w:val="24"/>
          <w:szCs w:val="24"/>
          <w:shd w:val="clear" w:color="auto" w:fill="FFFFFF"/>
        </w:rPr>
        <w:fldChar w:fldCharType="begin"/>
      </w:r>
      <w:r>
        <w:rPr>
          <w:rFonts w:hint="eastAsia"/>
          <w:color w:val="000000"/>
          <w:sz w:val="24"/>
          <w:szCs w:val="24"/>
          <w:shd w:val="clear" w:color="auto" w:fill="FFFFFF"/>
        </w:rPr>
        <w:instrText xml:space="preserve"> HYPERLINK "https://www.creditchina.gov.cn/" </w:instrText>
      </w:r>
      <w:r>
        <w:rPr>
          <w:rFonts w:hint="eastAsia"/>
          <w:color w:val="000000"/>
          <w:sz w:val="24"/>
          <w:szCs w:val="24"/>
          <w:shd w:val="clear" w:color="auto" w:fill="FFFFFF"/>
        </w:rPr>
        <w:fldChar w:fldCharType="separate"/>
      </w:r>
      <w:r>
        <w:rPr>
          <w:rFonts w:hint="eastAsia"/>
          <w:color w:val="000000"/>
          <w:sz w:val="24"/>
          <w:szCs w:val="24"/>
          <w:shd w:val="clear" w:color="auto" w:fill="FFFFFF"/>
        </w:rPr>
        <w:t>信用中国 (creditchina.gov.cn)</w:t>
      </w:r>
      <w:r>
        <w:rPr>
          <w:rFonts w:hint="eastAsia"/>
          <w:color w:val="000000"/>
          <w:sz w:val="24"/>
          <w:szCs w:val="24"/>
          <w:shd w:val="clear" w:color="auto" w:fill="FFFFFF"/>
        </w:rPr>
        <w:fldChar w:fldCharType="end"/>
      </w:r>
      <w:r>
        <w:rPr>
          <w:rFonts w:hint="eastAsia"/>
          <w:color w:val="000000"/>
          <w:sz w:val="24"/>
          <w:szCs w:val="24"/>
          <w:shd w:val="clear" w:color="auto" w:fill="FFFFFF"/>
        </w:rPr>
        <w:t>、信用服务版块、个人信用版块查询失信惩戒对象名单、失信被执行人名单查询单位和个人（查询对象：供应商、供应商法定代表人、授权委托人，并提供相关查询记录和查询结果）</w:t>
      </w: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pStyle w:val="10"/>
        <w:spacing w:line="360" w:lineRule="auto"/>
        <w:ind w:firstLine="0"/>
        <w:jc w:val="center"/>
        <w:rPr>
          <w:rFonts w:cs="Times New Roman"/>
          <w:b/>
          <w:bCs/>
          <w:color w:val="000000"/>
          <w:position w:val="6"/>
          <w:sz w:val="36"/>
          <w:szCs w:val="36"/>
        </w:rPr>
      </w:pPr>
    </w:p>
    <w:p>
      <w:pPr>
        <w:spacing w:line="360" w:lineRule="auto"/>
        <w:jc w:val="center"/>
        <w:rPr>
          <w:rFonts w:ascii="宋体"/>
          <w:color w:val="000000"/>
          <w:sz w:val="36"/>
          <w:szCs w:val="36"/>
        </w:rPr>
      </w:pPr>
      <w:r>
        <w:rPr>
          <w:rFonts w:ascii="宋体"/>
          <w:b/>
          <w:bCs/>
          <w:color w:val="000000"/>
          <w:sz w:val="36"/>
          <w:szCs w:val="36"/>
        </w:rPr>
        <w:br w:type="page"/>
      </w:r>
      <w:r>
        <w:rPr>
          <w:rFonts w:hint="eastAsia" w:ascii="宋体" w:hAnsi="宋体" w:eastAsia="宋体" w:cs="Times New Roman"/>
          <w:b/>
          <w:bCs/>
          <w:color w:val="000000"/>
          <w:kern w:val="2"/>
          <w:position w:val="6"/>
          <w:sz w:val="36"/>
          <w:szCs w:val="36"/>
          <w:lang w:val="en-US" w:eastAsia="zh-CN" w:bidi="ar-SA"/>
        </w:rPr>
        <w:t>六、技术部分</w:t>
      </w:r>
    </w:p>
    <w:p>
      <w:pPr>
        <w:pStyle w:val="22"/>
        <w:ind w:firstLine="0" w:firstLineChars="0"/>
        <w:jc w:val="center"/>
        <w:rPr>
          <w:rFonts w:ascii="宋体"/>
          <w:color w:val="000000"/>
          <w:sz w:val="28"/>
          <w:szCs w:val="28"/>
        </w:rPr>
      </w:pPr>
      <w:r>
        <w:rPr>
          <w:rFonts w:hint="eastAsia" w:ascii="宋体" w:hAnsi="宋体" w:cs="宋体"/>
          <w:color w:val="000000"/>
          <w:sz w:val="28"/>
          <w:szCs w:val="28"/>
        </w:rPr>
        <w:t>格式自拟</w:t>
      </w:r>
    </w:p>
    <w:p>
      <w:pPr>
        <w:pStyle w:val="22"/>
        <w:ind w:firstLine="280"/>
        <w:rPr>
          <w:rFonts w:ascii="宋体"/>
          <w:color w:val="000000"/>
          <w:sz w:val="28"/>
          <w:szCs w:val="28"/>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spacing w:line="360" w:lineRule="auto"/>
        <w:jc w:val="center"/>
        <w:rPr>
          <w:rFonts w:ascii="宋体"/>
          <w:b/>
          <w:bCs/>
          <w:color w:val="000000"/>
          <w:sz w:val="36"/>
          <w:szCs w:val="36"/>
        </w:rPr>
      </w:pPr>
    </w:p>
    <w:p>
      <w:pPr>
        <w:pStyle w:val="9"/>
      </w:pPr>
    </w:p>
    <w:p>
      <w:pPr>
        <w:pStyle w:val="9"/>
      </w:pPr>
    </w:p>
    <w:p>
      <w:pPr>
        <w:pStyle w:val="9"/>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0" w:firstLineChars="0"/>
        <w:rPr>
          <w:rFonts w:ascii="宋体"/>
          <w:color w:val="000000"/>
          <w:sz w:val="24"/>
          <w:szCs w:val="24"/>
        </w:rPr>
      </w:pPr>
    </w:p>
    <w:p>
      <w:pPr>
        <w:pStyle w:val="22"/>
        <w:ind w:firstLine="361"/>
        <w:jc w:val="center"/>
        <w:rPr>
          <w:rFonts w:ascii="宋体"/>
          <w:b/>
          <w:bCs/>
          <w:color w:val="000000"/>
          <w:position w:val="6"/>
          <w:sz w:val="36"/>
          <w:szCs w:val="36"/>
        </w:rPr>
      </w:pPr>
      <w:r>
        <w:rPr>
          <w:rFonts w:hint="eastAsia" w:ascii="宋体" w:hAnsi="宋体" w:cs="宋体"/>
          <w:b/>
          <w:bCs/>
          <w:color w:val="000000"/>
          <w:position w:val="6"/>
          <w:sz w:val="36"/>
          <w:szCs w:val="36"/>
          <w:lang w:val="en-US" w:eastAsia="zh-CN"/>
        </w:rPr>
        <w:t>七</w:t>
      </w:r>
      <w:r>
        <w:rPr>
          <w:rFonts w:hint="eastAsia" w:ascii="宋体" w:hAnsi="宋体" w:cs="宋体"/>
          <w:b/>
          <w:bCs/>
          <w:color w:val="000000"/>
          <w:position w:val="6"/>
          <w:sz w:val="36"/>
          <w:szCs w:val="36"/>
        </w:rPr>
        <w:t>、供应商认为需要提供的其它资料</w:t>
      </w: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22"/>
        <w:ind w:firstLine="361"/>
        <w:rPr>
          <w:rFonts w:ascii="宋体"/>
          <w:b/>
          <w:bCs/>
          <w:color w:val="000000"/>
          <w:position w:val="6"/>
          <w:sz w:val="36"/>
          <w:szCs w:val="36"/>
        </w:rPr>
      </w:pPr>
    </w:p>
    <w:p>
      <w:pPr>
        <w:pStyle w:val="10"/>
        <w:spacing w:line="360" w:lineRule="auto"/>
        <w:ind w:firstLine="0"/>
        <w:rPr>
          <w:rFonts w:cs="Times New Roman"/>
          <w:b/>
          <w:bCs/>
          <w:color w:val="000000"/>
          <w:position w:val="6"/>
          <w:sz w:val="36"/>
          <w:szCs w:val="36"/>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HBYdhzPAQAAmgMAAA4AAABkcnMvZTJvRG9jLnhtbK1TzY7TMBC+I/EO&#10;lu/USZciiJquQNUiJAQrFR7AdezGkv/kcZv0BeANOHHhvs/V52CcpN0fLnvg4ozH42++7/Nked1b&#10;Qw4ygvaupuWsoEQ64RvtdjX9/u3m1VtKIHHXcOOdrOlRAr1evXyx7EIl5771ppGRIIiDqgs1bVMK&#10;FWMgWmk5zHyQDg+Vj5Yn3MYdayLvEN0aNi+KN6zzsQnRCwmA2fV4SCfE+BxAr5QWcu3F3kqXRtQo&#10;DU8oCVodgK4GtkpJkb4qBTIRU1NUmoYVm2C8zStbLXm1izy0WkwU+HMoPNFkuXbY9AK15omTfdT/&#10;QFktogev0kx4y0YhgyOooiyeeLNpeZCDFrQawsV0+H+w4svhNhLd4CRQ4rjFBz/9+nn6fXf684OU&#10;xXyRHeoCVFi4CVia+g++z9VTHjCZhfcq2vxFSQTP0d/jxV/ZJyLypfL1u6sFJQKPysVVgTGisPvL&#10;IUL6KL0lOahpxOcbXOWHz5DG0nNJ7uX8jTYG87wy7lECMXOGZeYjwxylfttPtLe+OaKaDl++pg4H&#10;nRLzyaGxeUjOQTwH23OwD1HvWqRWDrwgvN8nJDFwyx1G2KkxPtmgbhqvPBMP90PV/S+1+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BU+a0AAAAAMBAAAPAAAAAAAAAAEAIAAAACIAAABkcnMvZG93&#10;bnJldi54bWxQSwECFAAUAAAACACHTuJAcFh2HM8BAACaAwAADgAAAAAAAAABACAAAAAfAQAAZHJz&#10;L2Uyb0RvYy54bWxQSwUGAAAAAAYABgBZAQAAY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2960370</wp:posOffset>
              </wp:positionH>
              <wp:positionV relativeFrom="paragraph">
                <wp:posOffset>3810</wp:posOffset>
              </wp:positionV>
              <wp:extent cx="180975" cy="180975"/>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0975" cy="180975"/>
                      </a:xfrm>
                      <a:prstGeom prst="rect">
                        <a:avLst/>
                      </a:prstGeom>
                      <a:noFill/>
                      <a:ln>
                        <a:noFill/>
                      </a:ln>
                    </wps:spPr>
                    <wps:txbx>
                      <w:txbxContent>
                        <w:p>
                          <w:pPr>
                            <w:snapToGrid w:val="0"/>
                            <w:rPr>
                              <w:sz w:val="18"/>
                              <w:szCs w:val="18"/>
                            </w:rPr>
                          </w:pPr>
                          <w:r>
                            <w:fldChar w:fldCharType="begin"/>
                          </w:r>
                          <w:r>
                            <w:instrText xml:space="preserve"> PAGE  \* MERGEFORMAT </w:instrText>
                          </w:r>
                          <w:r>
                            <w:fldChar w:fldCharType="separate"/>
                          </w:r>
                          <w:r>
                            <w:rPr>
                              <w:sz w:val="18"/>
                              <w:szCs w:val="18"/>
                            </w:rPr>
                            <w:t>29</w:t>
                          </w:r>
                          <w:r>
                            <w:rPr>
                              <w:sz w:val="18"/>
                              <w:szCs w:val="18"/>
                            </w:rPr>
                            <w:fldChar w:fldCharType="end"/>
                          </w:r>
                        </w:p>
                      </w:txbxContent>
                    </wps:txbx>
                    <wps:bodyPr lIns="0" tIns="0" rIns="0" bIns="0" upright="1"/>
                  </wps:wsp>
                </a:graphicData>
              </a:graphic>
            </wp:anchor>
          </w:drawing>
        </mc:Choice>
        <mc:Fallback>
          <w:pict>
            <v:shape id="文本框 13" o:spid="_x0000_s1026" o:spt="202" type="#_x0000_t202" style="position:absolute;left:0pt;margin-left:233.1pt;margin-top:0.3pt;height:14.25pt;width:14.25pt;mso-position-horizontal-relative:margin;z-index:251659264;mso-width-relative:page;mso-height-relative:page;" filled="f" stroked="f" coordsize="21600,21600" o:gfxdata="UEsDBAoAAAAAAIdO4kAAAAAAAAAAAAAAAAAEAAAAZHJzL1BLAwQUAAAACACHTuJAwKCXH9YAAAAH&#10;AQAADwAAAGRycy9kb3ducmV2LnhtbE2OTU+EMBRF9ybzH5o3iTunhRAUpEyM0ZWJkcGFy0LfQDP0&#10;FWnnw39vXTnLm3tz7qm2FzuxEy7eOJKQbAQwpN5pQ4OEz/b17gGYD4q0mhyhhB/0sK1XN5UqtTtT&#10;g6ddGFiEkC+VhDGEueTc9yNa5TduRord3i1WhRiXgetFnSPcTjwVIudWGYoPo5rxecT+sDtaCU9f&#10;1LyY7/fuo9k3pm0LQW/5QcrbdSIegQW8hP8x/OlHdaijU+eOpD2bJGR5nsaphBxYrLMiuwfWSUiL&#10;BHhd8Wv/+hdQSwMEFAAAAAgAh07iQHhxxAO3AQAAcgMAAA4AAABkcnMvZTJvRG9jLnhtbK1TzY7T&#10;MBC+I/EOlu/U6a6AJWq6EqoWISFA2uUBXMduLPlPY7dJXwDegBMX7jxXn4Oxk3Rh97KHvTjjmfE3&#10;830zWV0P1pCDhKi9a+hyUVEinfCtdruGfru7eXVFSUzctdx4Jxt6lJFer1++WPWhlhe+86aVQBDE&#10;xboPDe1SCjVjUXTS8rjwQToMKg+WJ7zCjrXAe0S3hl1U1RvWe2gDeCFjRO9mDNIJEZ4C6JXSQm68&#10;2Fvp0ogK0vCElGKnQ6Tr0q1SUqQvSkWZiGkoMk3lxCJob/PJ1ite74CHToupBf6UFh5wslw7LHqG&#10;2vDEyR70IyirBfjoVVoIb9lIpCiCLJbVA21uOx5k4YJSx3AWPT4frPh8+ApEtw29pMRxiwM//fxx&#10;+vXn9Ps7WV5mffoQa0y7DZiYhvd+wK2Z/RGdmfagwOYvEiIYR3WPZ3XlkIjIj66qd29fUyIwNNmI&#10;zu4fB4jpg/SWZKOhgMMrmvLDp5jG1Dkl13L+RhtTBmjcfw7EzB6WOx87zFYatsNEZ+vbI7IxHx1K&#10;mddiNmA2trOxD6B3HbZTOBdIHEXpe1qbPOt/76Xw/a+y/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oJcf1gAAAAcBAAAPAAAAAAAAAAEAIAAAACIAAABkcnMvZG93bnJldi54bWxQSwECFAAUAAAA&#10;CACHTuJAeHHEA7cBAAByAwAADgAAAAAAAAABACAAAAAlAQAAZHJzL2Uyb0RvYy54bWxQSwUGAAAA&#10;AAYABgBZAQAATg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29</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2960370</wp:posOffset>
              </wp:positionH>
              <wp:positionV relativeFrom="paragraph">
                <wp:posOffset>3810</wp:posOffset>
              </wp:positionV>
              <wp:extent cx="180975" cy="180975"/>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0975" cy="180975"/>
                      </a:xfrm>
                      <a:prstGeom prst="rect">
                        <a:avLst/>
                      </a:prstGeom>
                      <a:noFill/>
                      <a:ln>
                        <a:noFill/>
                      </a:ln>
                    </wps:spPr>
                    <wps:txbx>
                      <w:txbxContent>
                        <w:p>
                          <w:pPr>
                            <w:snapToGrid w:val="0"/>
                            <w:rPr>
                              <w:sz w:val="18"/>
                              <w:szCs w:val="18"/>
                            </w:rPr>
                          </w:pPr>
                          <w:r>
                            <w:fldChar w:fldCharType="begin"/>
                          </w:r>
                          <w:r>
                            <w:instrText xml:space="preserve"> PAGE  \* MERGEFORMAT </w:instrText>
                          </w:r>
                          <w:r>
                            <w:fldChar w:fldCharType="separate"/>
                          </w:r>
                          <w:r>
                            <w:rPr>
                              <w:sz w:val="18"/>
                              <w:szCs w:val="18"/>
                            </w:rPr>
                            <w:t>29</w:t>
                          </w:r>
                          <w:r>
                            <w:rPr>
                              <w:sz w:val="18"/>
                              <w:szCs w:val="18"/>
                            </w:rPr>
                            <w:fldChar w:fldCharType="end"/>
                          </w:r>
                        </w:p>
                      </w:txbxContent>
                    </wps:txbx>
                    <wps:bodyPr lIns="0" tIns="0" rIns="0" bIns="0" upright="1"/>
                  </wps:wsp>
                </a:graphicData>
              </a:graphic>
            </wp:anchor>
          </w:drawing>
        </mc:Choice>
        <mc:Fallback>
          <w:pict>
            <v:shape id="文本框 13" o:spid="_x0000_s1026" o:spt="202" type="#_x0000_t202" style="position:absolute;left:0pt;margin-left:233.1pt;margin-top:0.3pt;height:14.25pt;width:14.25pt;mso-position-horizontal-relative:margin;z-index:251660288;mso-width-relative:page;mso-height-relative:page;" filled="f" stroked="f" coordsize="21600,21600" o:gfxdata="UEsDBAoAAAAAAIdO4kAAAAAAAAAAAAAAAAAEAAAAZHJzL1BLAwQUAAAACACHTuJAwKCXH9YAAAAH&#10;AQAADwAAAGRycy9kb3ducmV2LnhtbE2OTU+EMBRF9ybzH5o3iTunhRAUpEyM0ZWJkcGFy0LfQDP0&#10;FWnnw39vXTnLm3tz7qm2FzuxEy7eOJKQbAQwpN5pQ4OEz/b17gGYD4q0mhyhhB/0sK1XN5UqtTtT&#10;g6ddGFiEkC+VhDGEueTc9yNa5TduRord3i1WhRiXgetFnSPcTjwVIudWGYoPo5rxecT+sDtaCU9f&#10;1LyY7/fuo9k3pm0LQW/5QcrbdSIegQW8hP8x/OlHdaijU+eOpD2bJGR5nsaphBxYrLMiuwfWSUiL&#10;BHhd8Wv/+hdQSwMEFAAAAAgAh07iQFM7UIm2AQAAcgMAAA4AAABkcnMvZTJvRG9jLnhtbK1TzY7T&#10;MBC+I/EOlu/UaRGwRE1XQtUiJARICw/gOnZjyX8au036AvAGnLhw57n6HIydpMvuXvbAxRnPjL+Z&#10;75vJ+nqwhhwlRO1dQ5eLihLphG+12zf029ebF1eUxMRdy413sqEnGen15vmzdR9qufKdN60EgiAu&#10;1n1oaJdSqBmLopOWx4UP0mFQebA84RX2rAXeI7o1bFVVr1nvoQ3ghYwRvdsxSCdEeAqgV0oLufXi&#10;YKVLIypIwxNSip0OkW5Kt0pJkT4rFWUipqHINJUTi6C9yyfbrHm9Bx46LaYW+FNaeMDJcu2w6AVq&#10;yxMnB9CPoKwW4KNXaSG8ZSORogiyWFYPtLnteJCFC0odw0X0+P9gxafjFyC6beiKEsctDvz888f5&#10;15/z7+9k+TLr04dYY9ptwMQ0vPMDbs3sj+jMtAcFNn+REME4qnu6qCuHRER+dFW9ffOKEoGhyUZ0&#10;dvc4QEzvpbckGw0FHF7RlB8/xjSmzim5lvM32pgyQOPuORAze1jufOwwW2nYDROdnW9PyMZ8cChl&#10;XovZgNnYzcYhgN532E7hXCBxFKXvaW3yrP+9l8J3v8rm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Cglx/WAAAABwEAAA8AAAAAAAAAAQAgAAAAIgAAAGRycy9kb3ducmV2LnhtbFBLAQIUABQAAAAI&#10;AIdO4kBTO1CJtgEAAHIDAAAOAAAAAAAAAAEAIAAAACUBAABkcnMvZTJvRG9jLnhtbFBLBQYAAAAA&#10;BgAGAFkBAABNBQ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29</w:t>
                    </w:r>
                    <w:r>
                      <w:rPr>
                        <w:sz w:val="18"/>
                        <w:szCs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B45C8"/>
    <w:multiLevelType w:val="singleLevel"/>
    <w:tmpl w:val="9CCB45C8"/>
    <w:lvl w:ilvl="0" w:tentative="0">
      <w:start w:val="5"/>
      <w:numFmt w:val="chineseCounting"/>
      <w:suff w:val="nothing"/>
      <w:lvlText w:val="%1、"/>
      <w:lvlJc w:val="left"/>
      <w:rPr>
        <w:rFonts w:hint="eastAsia"/>
      </w:rPr>
    </w:lvl>
  </w:abstractNum>
  <w:abstractNum w:abstractNumId="1">
    <w:nsid w:val="B5C8E6F1"/>
    <w:multiLevelType w:val="singleLevel"/>
    <w:tmpl w:val="B5C8E6F1"/>
    <w:lvl w:ilvl="0" w:tentative="0">
      <w:start w:val="1"/>
      <w:numFmt w:val="decimal"/>
      <w:suff w:val="nothing"/>
      <w:lvlText w:val="%1、"/>
      <w:lvlJc w:val="left"/>
    </w:lvl>
  </w:abstractNum>
  <w:abstractNum w:abstractNumId="2">
    <w:nsid w:val="E8E8A860"/>
    <w:multiLevelType w:val="singleLevel"/>
    <w:tmpl w:val="E8E8A860"/>
    <w:lvl w:ilvl="0" w:tentative="0">
      <w:start w:val="1"/>
      <w:numFmt w:val="decimal"/>
      <w:suff w:val="nothing"/>
      <w:lvlText w:val="（%1）"/>
      <w:lvlJc w:val="left"/>
    </w:lvl>
  </w:abstractNum>
  <w:abstractNum w:abstractNumId="3">
    <w:nsid w:val="F8D8D96C"/>
    <w:multiLevelType w:val="singleLevel"/>
    <w:tmpl w:val="F8D8D96C"/>
    <w:lvl w:ilvl="0" w:tentative="0">
      <w:start w:val="1"/>
      <w:numFmt w:val="decimal"/>
      <w:suff w:val="nothing"/>
      <w:lvlText w:val="%1、"/>
      <w:lvlJc w:val="left"/>
    </w:lvl>
  </w:abstractNum>
  <w:abstractNum w:abstractNumId="4">
    <w:nsid w:val="00000004"/>
    <w:multiLevelType w:val="singleLevel"/>
    <w:tmpl w:val="00000004"/>
    <w:lvl w:ilvl="0" w:tentative="0">
      <w:start w:val="1"/>
      <w:numFmt w:val="chineseCounting"/>
      <w:suff w:val="nothing"/>
      <w:lvlText w:val="（%1）"/>
      <w:lvlJc w:val="left"/>
      <w:pPr>
        <w:ind w:left="420" w:firstLine="0"/>
      </w:pPr>
    </w:lvl>
  </w:abstractNum>
  <w:abstractNum w:abstractNumId="5">
    <w:nsid w:val="5909D225"/>
    <w:multiLevelType w:val="singleLevel"/>
    <w:tmpl w:val="5909D225"/>
    <w:lvl w:ilvl="0" w:tentative="0">
      <w:start w:val="1"/>
      <w:numFmt w:val="decimal"/>
      <w:suff w:val="nothing"/>
      <w:lvlText w:val="（%1）"/>
      <w:lvlJc w:val="left"/>
    </w:lvl>
  </w:abstractNum>
  <w:abstractNum w:abstractNumId="6">
    <w:nsid w:val="5909DFA2"/>
    <w:multiLevelType w:val="singleLevel"/>
    <w:tmpl w:val="5909DFA2"/>
    <w:lvl w:ilvl="0" w:tentative="0">
      <w:start w:val="1"/>
      <w:numFmt w:val="chineseCounting"/>
      <w:suff w:val="nothing"/>
      <w:lvlText w:val="%1、"/>
      <w:lvlJc w:val="left"/>
    </w:lvl>
  </w:abstractNum>
  <w:abstractNum w:abstractNumId="7">
    <w:nsid w:val="5D036768"/>
    <w:multiLevelType w:val="singleLevel"/>
    <w:tmpl w:val="5D036768"/>
    <w:lvl w:ilvl="0" w:tentative="0">
      <w:start w:val="6"/>
      <w:numFmt w:val="chineseCounting"/>
      <w:suff w:val="space"/>
      <w:lvlText w:val="第%1章"/>
      <w:lvlJc w:val="left"/>
      <w:rPr>
        <w:rFonts w:hint="eastAsia"/>
      </w:r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gutterAtTop/>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2YzhhOTNmYjEyMTk0NWFiZmJjNzdlMzg2ZWUwYTQifQ=="/>
  </w:docVars>
  <w:rsids>
    <w:rsidRoot w:val="007939C1"/>
    <w:rsid w:val="0000116D"/>
    <w:rsid w:val="000013BD"/>
    <w:rsid w:val="000024FA"/>
    <w:rsid w:val="0000277A"/>
    <w:rsid w:val="00003A49"/>
    <w:rsid w:val="00004F97"/>
    <w:rsid w:val="00007FA5"/>
    <w:rsid w:val="000100EC"/>
    <w:rsid w:val="000139E5"/>
    <w:rsid w:val="00014BF8"/>
    <w:rsid w:val="00016A7B"/>
    <w:rsid w:val="000177D9"/>
    <w:rsid w:val="00017BD7"/>
    <w:rsid w:val="00020C2E"/>
    <w:rsid w:val="000220DF"/>
    <w:rsid w:val="0002276B"/>
    <w:rsid w:val="00023989"/>
    <w:rsid w:val="00025CAE"/>
    <w:rsid w:val="00026C89"/>
    <w:rsid w:val="0003307D"/>
    <w:rsid w:val="00034262"/>
    <w:rsid w:val="000346B1"/>
    <w:rsid w:val="000352EC"/>
    <w:rsid w:val="00035C4A"/>
    <w:rsid w:val="000366A3"/>
    <w:rsid w:val="00036951"/>
    <w:rsid w:val="000412D1"/>
    <w:rsid w:val="00044C0C"/>
    <w:rsid w:val="00044C55"/>
    <w:rsid w:val="00046265"/>
    <w:rsid w:val="0004690B"/>
    <w:rsid w:val="00052F75"/>
    <w:rsid w:val="00053543"/>
    <w:rsid w:val="000542CD"/>
    <w:rsid w:val="00060D0D"/>
    <w:rsid w:val="000614B7"/>
    <w:rsid w:val="000668E3"/>
    <w:rsid w:val="00067156"/>
    <w:rsid w:val="00067585"/>
    <w:rsid w:val="000728AA"/>
    <w:rsid w:val="00072FFA"/>
    <w:rsid w:val="00073818"/>
    <w:rsid w:val="00077019"/>
    <w:rsid w:val="00080DED"/>
    <w:rsid w:val="0008446A"/>
    <w:rsid w:val="00086E10"/>
    <w:rsid w:val="0009641D"/>
    <w:rsid w:val="000968EF"/>
    <w:rsid w:val="0009722B"/>
    <w:rsid w:val="00097D9C"/>
    <w:rsid w:val="000A09EC"/>
    <w:rsid w:val="000A200C"/>
    <w:rsid w:val="000A22F3"/>
    <w:rsid w:val="000A3A6D"/>
    <w:rsid w:val="000A42F6"/>
    <w:rsid w:val="000B1B89"/>
    <w:rsid w:val="000B2245"/>
    <w:rsid w:val="000B49FC"/>
    <w:rsid w:val="000B4C14"/>
    <w:rsid w:val="000B6529"/>
    <w:rsid w:val="000C0E3A"/>
    <w:rsid w:val="000C2191"/>
    <w:rsid w:val="000C2650"/>
    <w:rsid w:val="000C3242"/>
    <w:rsid w:val="000C4C79"/>
    <w:rsid w:val="000C571B"/>
    <w:rsid w:val="000D1089"/>
    <w:rsid w:val="000D2172"/>
    <w:rsid w:val="000D318C"/>
    <w:rsid w:val="000D39A6"/>
    <w:rsid w:val="000D4C21"/>
    <w:rsid w:val="000D64DB"/>
    <w:rsid w:val="000E1340"/>
    <w:rsid w:val="000E17E5"/>
    <w:rsid w:val="000E3169"/>
    <w:rsid w:val="000E3874"/>
    <w:rsid w:val="000E4DA7"/>
    <w:rsid w:val="000F012A"/>
    <w:rsid w:val="000F0984"/>
    <w:rsid w:val="000F36E5"/>
    <w:rsid w:val="000F3F41"/>
    <w:rsid w:val="000F44AB"/>
    <w:rsid w:val="000F46B8"/>
    <w:rsid w:val="000F69A4"/>
    <w:rsid w:val="000F6BB6"/>
    <w:rsid w:val="000F70F8"/>
    <w:rsid w:val="000F743F"/>
    <w:rsid w:val="000F7A37"/>
    <w:rsid w:val="00104E1A"/>
    <w:rsid w:val="00105DE4"/>
    <w:rsid w:val="001075E8"/>
    <w:rsid w:val="001113BD"/>
    <w:rsid w:val="001123B6"/>
    <w:rsid w:val="0011260D"/>
    <w:rsid w:val="00112EAD"/>
    <w:rsid w:val="00114281"/>
    <w:rsid w:val="00115113"/>
    <w:rsid w:val="001153E9"/>
    <w:rsid w:val="00115AEC"/>
    <w:rsid w:val="001163AF"/>
    <w:rsid w:val="001172BB"/>
    <w:rsid w:val="00117F65"/>
    <w:rsid w:val="00120E73"/>
    <w:rsid w:val="00122072"/>
    <w:rsid w:val="0012384E"/>
    <w:rsid w:val="00123BCF"/>
    <w:rsid w:val="00125830"/>
    <w:rsid w:val="0013015F"/>
    <w:rsid w:val="00131446"/>
    <w:rsid w:val="00132D6D"/>
    <w:rsid w:val="00133C97"/>
    <w:rsid w:val="00134015"/>
    <w:rsid w:val="001363A4"/>
    <w:rsid w:val="00142A95"/>
    <w:rsid w:val="001463C0"/>
    <w:rsid w:val="00146780"/>
    <w:rsid w:val="001470F7"/>
    <w:rsid w:val="0014790E"/>
    <w:rsid w:val="001512F6"/>
    <w:rsid w:val="0015226B"/>
    <w:rsid w:val="001536E4"/>
    <w:rsid w:val="00153FE2"/>
    <w:rsid w:val="00155E9E"/>
    <w:rsid w:val="00157DD0"/>
    <w:rsid w:val="001629F4"/>
    <w:rsid w:val="00163B99"/>
    <w:rsid w:val="00172282"/>
    <w:rsid w:val="001739CF"/>
    <w:rsid w:val="00174147"/>
    <w:rsid w:val="00175164"/>
    <w:rsid w:val="00176226"/>
    <w:rsid w:val="001763B0"/>
    <w:rsid w:val="00180AFE"/>
    <w:rsid w:val="00181449"/>
    <w:rsid w:val="0018147B"/>
    <w:rsid w:val="00182163"/>
    <w:rsid w:val="001857FF"/>
    <w:rsid w:val="00185E87"/>
    <w:rsid w:val="00187FA1"/>
    <w:rsid w:val="001918BE"/>
    <w:rsid w:val="00195277"/>
    <w:rsid w:val="00196759"/>
    <w:rsid w:val="001977F2"/>
    <w:rsid w:val="001A073A"/>
    <w:rsid w:val="001A1C08"/>
    <w:rsid w:val="001A3516"/>
    <w:rsid w:val="001A76BD"/>
    <w:rsid w:val="001B01F1"/>
    <w:rsid w:val="001B04A7"/>
    <w:rsid w:val="001B06C2"/>
    <w:rsid w:val="001B08C0"/>
    <w:rsid w:val="001B3275"/>
    <w:rsid w:val="001B50D7"/>
    <w:rsid w:val="001B69CF"/>
    <w:rsid w:val="001C41AB"/>
    <w:rsid w:val="001C5C0A"/>
    <w:rsid w:val="001C7BF2"/>
    <w:rsid w:val="001C7F0F"/>
    <w:rsid w:val="001C7F21"/>
    <w:rsid w:val="001D2BB6"/>
    <w:rsid w:val="001E27F3"/>
    <w:rsid w:val="001E49B8"/>
    <w:rsid w:val="001E691C"/>
    <w:rsid w:val="001F0041"/>
    <w:rsid w:val="001F75B5"/>
    <w:rsid w:val="00202C8B"/>
    <w:rsid w:val="00203228"/>
    <w:rsid w:val="00203D0F"/>
    <w:rsid w:val="0020466A"/>
    <w:rsid w:val="00205D50"/>
    <w:rsid w:val="00207382"/>
    <w:rsid w:val="00207D2B"/>
    <w:rsid w:val="00210AB4"/>
    <w:rsid w:val="00211310"/>
    <w:rsid w:val="00220872"/>
    <w:rsid w:val="00220A55"/>
    <w:rsid w:val="0022144A"/>
    <w:rsid w:val="00224B5D"/>
    <w:rsid w:val="00226FED"/>
    <w:rsid w:val="002271D6"/>
    <w:rsid w:val="0023000F"/>
    <w:rsid w:val="00232C25"/>
    <w:rsid w:val="00233DF7"/>
    <w:rsid w:val="00236529"/>
    <w:rsid w:val="00236B93"/>
    <w:rsid w:val="00236D78"/>
    <w:rsid w:val="00240474"/>
    <w:rsid w:val="0024071E"/>
    <w:rsid w:val="00241458"/>
    <w:rsid w:val="00241C86"/>
    <w:rsid w:val="00242069"/>
    <w:rsid w:val="002441A9"/>
    <w:rsid w:val="002455F1"/>
    <w:rsid w:val="00246CEA"/>
    <w:rsid w:val="00247983"/>
    <w:rsid w:val="002501C7"/>
    <w:rsid w:val="0025030C"/>
    <w:rsid w:val="00251B79"/>
    <w:rsid w:val="002523CA"/>
    <w:rsid w:val="00253719"/>
    <w:rsid w:val="00255A69"/>
    <w:rsid w:val="00260875"/>
    <w:rsid w:val="00260ED1"/>
    <w:rsid w:val="0026119D"/>
    <w:rsid w:val="00261726"/>
    <w:rsid w:val="002623A4"/>
    <w:rsid w:val="00262455"/>
    <w:rsid w:val="00263628"/>
    <w:rsid w:val="00264C38"/>
    <w:rsid w:val="00264EEE"/>
    <w:rsid w:val="0026669B"/>
    <w:rsid w:val="00270C4D"/>
    <w:rsid w:val="00272494"/>
    <w:rsid w:val="00275881"/>
    <w:rsid w:val="00277FF1"/>
    <w:rsid w:val="00285A3A"/>
    <w:rsid w:val="00285FA6"/>
    <w:rsid w:val="002860A4"/>
    <w:rsid w:val="00293AB0"/>
    <w:rsid w:val="00293FD6"/>
    <w:rsid w:val="002955A2"/>
    <w:rsid w:val="00296010"/>
    <w:rsid w:val="002A020C"/>
    <w:rsid w:val="002A064D"/>
    <w:rsid w:val="002A08B5"/>
    <w:rsid w:val="002A14D5"/>
    <w:rsid w:val="002A15E8"/>
    <w:rsid w:val="002A274C"/>
    <w:rsid w:val="002A4E5A"/>
    <w:rsid w:val="002B238A"/>
    <w:rsid w:val="002B5937"/>
    <w:rsid w:val="002B5E9A"/>
    <w:rsid w:val="002B67F6"/>
    <w:rsid w:val="002B6C38"/>
    <w:rsid w:val="002B742E"/>
    <w:rsid w:val="002C0D95"/>
    <w:rsid w:val="002C2ACB"/>
    <w:rsid w:val="002C7974"/>
    <w:rsid w:val="002D0D1B"/>
    <w:rsid w:val="002D128E"/>
    <w:rsid w:val="002D1C7E"/>
    <w:rsid w:val="002D6278"/>
    <w:rsid w:val="002D6C68"/>
    <w:rsid w:val="002D6FE6"/>
    <w:rsid w:val="002E0A2B"/>
    <w:rsid w:val="002E1F99"/>
    <w:rsid w:val="002E54CD"/>
    <w:rsid w:val="002E6008"/>
    <w:rsid w:val="002E6CB4"/>
    <w:rsid w:val="002F19CB"/>
    <w:rsid w:val="002F4A5B"/>
    <w:rsid w:val="002F6C85"/>
    <w:rsid w:val="0030255F"/>
    <w:rsid w:val="0030339F"/>
    <w:rsid w:val="00304645"/>
    <w:rsid w:val="00304767"/>
    <w:rsid w:val="00306075"/>
    <w:rsid w:val="0030685E"/>
    <w:rsid w:val="003101E5"/>
    <w:rsid w:val="0031259D"/>
    <w:rsid w:val="003130BC"/>
    <w:rsid w:val="00314879"/>
    <w:rsid w:val="003156DF"/>
    <w:rsid w:val="00320282"/>
    <w:rsid w:val="00320714"/>
    <w:rsid w:val="00320F4E"/>
    <w:rsid w:val="003250F0"/>
    <w:rsid w:val="0032618C"/>
    <w:rsid w:val="00327F8C"/>
    <w:rsid w:val="00330192"/>
    <w:rsid w:val="00331AE4"/>
    <w:rsid w:val="00331D2E"/>
    <w:rsid w:val="003325A2"/>
    <w:rsid w:val="00332F21"/>
    <w:rsid w:val="00333392"/>
    <w:rsid w:val="00337C26"/>
    <w:rsid w:val="00340E5A"/>
    <w:rsid w:val="00342406"/>
    <w:rsid w:val="00344945"/>
    <w:rsid w:val="00350628"/>
    <w:rsid w:val="00354539"/>
    <w:rsid w:val="003550D9"/>
    <w:rsid w:val="003566F2"/>
    <w:rsid w:val="00362895"/>
    <w:rsid w:val="003646AD"/>
    <w:rsid w:val="00365F17"/>
    <w:rsid w:val="00367F19"/>
    <w:rsid w:val="00370F35"/>
    <w:rsid w:val="00373EE3"/>
    <w:rsid w:val="00377603"/>
    <w:rsid w:val="00377FCA"/>
    <w:rsid w:val="003800F1"/>
    <w:rsid w:val="00382163"/>
    <w:rsid w:val="003833E9"/>
    <w:rsid w:val="00383573"/>
    <w:rsid w:val="003845FE"/>
    <w:rsid w:val="00384E1E"/>
    <w:rsid w:val="00385C57"/>
    <w:rsid w:val="00386106"/>
    <w:rsid w:val="003876DA"/>
    <w:rsid w:val="003914DF"/>
    <w:rsid w:val="00391755"/>
    <w:rsid w:val="0039192A"/>
    <w:rsid w:val="0039278D"/>
    <w:rsid w:val="0039421C"/>
    <w:rsid w:val="00396AD5"/>
    <w:rsid w:val="00396E44"/>
    <w:rsid w:val="003A363A"/>
    <w:rsid w:val="003A4BED"/>
    <w:rsid w:val="003A6473"/>
    <w:rsid w:val="003A7CEF"/>
    <w:rsid w:val="003B0331"/>
    <w:rsid w:val="003B2F6E"/>
    <w:rsid w:val="003B58D9"/>
    <w:rsid w:val="003C0CB9"/>
    <w:rsid w:val="003C1AEF"/>
    <w:rsid w:val="003C5DC1"/>
    <w:rsid w:val="003C7928"/>
    <w:rsid w:val="003C7F79"/>
    <w:rsid w:val="003D0A1E"/>
    <w:rsid w:val="003D0E85"/>
    <w:rsid w:val="003D24B7"/>
    <w:rsid w:val="003D557D"/>
    <w:rsid w:val="003D5B7C"/>
    <w:rsid w:val="003D7765"/>
    <w:rsid w:val="003D77B4"/>
    <w:rsid w:val="003E3082"/>
    <w:rsid w:val="003E321E"/>
    <w:rsid w:val="003E42A0"/>
    <w:rsid w:val="003E5452"/>
    <w:rsid w:val="003E5EA5"/>
    <w:rsid w:val="003F027B"/>
    <w:rsid w:val="003F1A50"/>
    <w:rsid w:val="003F2213"/>
    <w:rsid w:val="003F23E6"/>
    <w:rsid w:val="003F4A2C"/>
    <w:rsid w:val="004004D5"/>
    <w:rsid w:val="0040087F"/>
    <w:rsid w:val="00400ABC"/>
    <w:rsid w:val="00400B75"/>
    <w:rsid w:val="004054CA"/>
    <w:rsid w:val="004105D8"/>
    <w:rsid w:val="004132CA"/>
    <w:rsid w:val="004163AD"/>
    <w:rsid w:val="004168CE"/>
    <w:rsid w:val="004213BC"/>
    <w:rsid w:val="004214CB"/>
    <w:rsid w:val="00421F6F"/>
    <w:rsid w:val="004231D8"/>
    <w:rsid w:val="00423FEC"/>
    <w:rsid w:val="00424A55"/>
    <w:rsid w:val="00424C7E"/>
    <w:rsid w:val="00424F96"/>
    <w:rsid w:val="00426494"/>
    <w:rsid w:val="00431653"/>
    <w:rsid w:val="00431A53"/>
    <w:rsid w:val="00433276"/>
    <w:rsid w:val="0044209B"/>
    <w:rsid w:val="00442B89"/>
    <w:rsid w:val="00442C05"/>
    <w:rsid w:val="00444BA3"/>
    <w:rsid w:val="00445350"/>
    <w:rsid w:val="004455BD"/>
    <w:rsid w:val="004459D4"/>
    <w:rsid w:val="00445AEA"/>
    <w:rsid w:val="004518AD"/>
    <w:rsid w:val="00451DC5"/>
    <w:rsid w:val="004528D2"/>
    <w:rsid w:val="00452BC3"/>
    <w:rsid w:val="004530F5"/>
    <w:rsid w:val="00454ED4"/>
    <w:rsid w:val="004554AC"/>
    <w:rsid w:val="00456582"/>
    <w:rsid w:val="00457BF4"/>
    <w:rsid w:val="00460FFB"/>
    <w:rsid w:val="0046139B"/>
    <w:rsid w:val="004644DA"/>
    <w:rsid w:val="00464A84"/>
    <w:rsid w:val="00465006"/>
    <w:rsid w:val="00466E0E"/>
    <w:rsid w:val="00472B23"/>
    <w:rsid w:val="00473566"/>
    <w:rsid w:val="00473930"/>
    <w:rsid w:val="00480B45"/>
    <w:rsid w:val="00481E60"/>
    <w:rsid w:val="00483EE0"/>
    <w:rsid w:val="0048429F"/>
    <w:rsid w:val="00484B96"/>
    <w:rsid w:val="00485010"/>
    <w:rsid w:val="0048534F"/>
    <w:rsid w:val="00485C10"/>
    <w:rsid w:val="00486AEE"/>
    <w:rsid w:val="0049153A"/>
    <w:rsid w:val="00494234"/>
    <w:rsid w:val="004942B1"/>
    <w:rsid w:val="00495D8B"/>
    <w:rsid w:val="004A04D2"/>
    <w:rsid w:val="004A086E"/>
    <w:rsid w:val="004A14F5"/>
    <w:rsid w:val="004A214B"/>
    <w:rsid w:val="004A28C8"/>
    <w:rsid w:val="004A38C2"/>
    <w:rsid w:val="004A3A40"/>
    <w:rsid w:val="004A41A0"/>
    <w:rsid w:val="004A62AA"/>
    <w:rsid w:val="004A6DDA"/>
    <w:rsid w:val="004B114E"/>
    <w:rsid w:val="004B1C0E"/>
    <w:rsid w:val="004B2686"/>
    <w:rsid w:val="004B5009"/>
    <w:rsid w:val="004C22CF"/>
    <w:rsid w:val="004C2834"/>
    <w:rsid w:val="004C30BC"/>
    <w:rsid w:val="004C469D"/>
    <w:rsid w:val="004C6DC5"/>
    <w:rsid w:val="004C70AA"/>
    <w:rsid w:val="004C7DBA"/>
    <w:rsid w:val="004D184D"/>
    <w:rsid w:val="004D198D"/>
    <w:rsid w:val="004D1ED4"/>
    <w:rsid w:val="004D756C"/>
    <w:rsid w:val="004D758D"/>
    <w:rsid w:val="004D76A7"/>
    <w:rsid w:val="004E188D"/>
    <w:rsid w:val="004E4945"/>
    <w:rsid w:val="004E613F"/>
    <w:rsid w:val="004F036A"/>
    <w:rsid w:val="004F09E6"/>
    <w:rsid w:val="004F0E9D"/>
    <w:rsid w:val="004F1959"/>
    <w:rsid w:val="004F20B2"/>
    <w:rsid w:val="004F3696"/>
    <w:rsid w:val="004F4201"/>
    <w:rsid w:val="004F5CE3"/>
    <w:rsid w:val="00502B5B"/>
    <w:rsid w:val="005033D0"/>
    <w:rsid w:val="00503BA1"/>
    <w:rsid w:val="00504109"/>
    <w:rsid w:val="0050789C"/>
    <w:rsid w:val="00510611"/>
    <w:rsid w:val="00510B4E"/>
    <w:rsid w:val="00512350"/>
    <w:rsid w:val="00513330"/>
    <w:rsid w:val="00515FF0"/>
    <w:rsid w:val="0051620D"/>
    <w:rsid w:val="0051735C"/>
    <w:rsid w:val="00520DB8"/>
    <w:rsid w:val="00521CD9"/>
    <w:rsid w:val="00522743"/>
    <w:rsid w:val="00533422"/>
    <w:rsid w:val="00533B16"/>
    <w:rsid w:val="00534895"/>
    <w:rsid w:val="005350BC"/>
    <w:rsid w:val="00537422"/>
    <w:rsid w:val="00537B24"/>
    <w:rsid w:val="005404C4"/>
    <w:rsid w:val="00541B52"/>
    <w:rsid w:val="0054402F"/>
    <w:rsid w:val="0054754D"/>
    <w:rsid w:val="00547BC7"/>
    <w:rsid w:val="0055160F"/>
    <w:rsid w:val="00552799"/>
    <w:rsid w:val="00552B46"/>
    <w:rsid w:val="005559B8"/>
    <w:rsid w:val="005565F2"/>
    <w:rsid w:val="0055674E"/>
    <w:rsid w:val="0055699E"/>
    <w:rsid w:val="00556A20"/>
    <w:rsid w:val="00556D01"/>
    <w:rsid w:val="00556D17"/>
    <w:rsid w:val="005571AC"/>
    <w:rsid w:val="00561F86"/>
    <w:rsid w:val="00564927"/>
    <w:rsid w:val="00566EB6"/>
    <w:rsid w:val="00567595"/>
    <w:rsid w:val="00571628"/>
    <w:rsid w:val="00571687"/>
    <w:rsid w:val="005725C6"/>
    <w:rsid w:val="005741CA"/>
    <w:rsid w:val="00581C77"/>
    <w:rsid w:val="0058348A"/>
    <w:rsid w:val="0058591A"/>
    <w:rsid w:val="00586AFA"/>
    <w:rsid w:val="0058739E"/>
    <w:rsid w:val="005876AA"/>
    <w:rsid w:val="005906DE"/>
    <w:rsid w:val="00591728"/>
    <w:rsid w:val="00593012"/>
    <w:rsid w:val="0059353B"/>
    <w:rsid w:val="00596F70"/>
    <w:rsid w:val="005A0B45"/>
    <w:rsid w:val="005A24DE"/>
    <w:rsid w:val="005A2A74"/>
    <w:rsid w:val="005A339D"/>
    <w:rsid w:val="005B0299"/>
    <w:rsid w:val="005B0DC3"/>
    <w:rsid w:val="005B430F"/>
    <w:rsid w:val="005B6A03"/>
    <w:rsid w:val="005B6B7F"/>
    <w:rsid w:val="005C0319"/>
    <w:rsid w:val="005C04CF"/>
    <w:rsid w:val="005C1F7A"/>
    <w:rsid w:val="005C1F90"/>
    <w:rsid w:val="005C3795"/>
    <w:rsid w:val="005C4ED9"/>
    <w:rsid w:val="005D02F9"/>
    <w:rsid w:val="005D15A0"/>
    <w:rsid w:val="005D4C93"/>
    <w:rsid w:val="005D5715"/>
    <w:rsid w:val="005E1765"/>
    <w:rsid w:val="005E1C1D"/>
    <w:rsid w:val="005E2CA2"/>
    <w:rsid w:val="005E3C6A"/>
    <w:rsid w:val="005F13A4"/>
    <w:rsid w:val="005F487B"/>
    <w:rsid w:val="005F4C0B"/>
    <w:rsid w:val="005F65BC"/>
    <w:rsid w:val="005F75CE"/>
    <w:rsid w:val="00601782"/>
    <w:rsid w:val="00602E3D"/>
    <w:rsid w:val="00602FC8"/>
    <w:rsid w:val="006046D5"/>
    <w:rsid w:val="00606182"/>
    <w:rsid w:val="006069C8"/>
    <w:rsid w:val="006077C9"/>
    <w:rsid w:val="00607F6E"/>
    <w:rsid w:val="00610763"/>
    <w:rsid w:val="00611375"/>
    <w:rsid w:val="006127D2"/>
    <w:rsid w:val="00612E3F"/>
    <w:rsid w:val="00613124"/>
    <w:rsid w:val="00616406"/>
    <w:rsid w:val="00616B78"/>
    <w:rsid w:val="006178DF"/>
    <w:rsid w:val="00620221"/>
    <w:rsid w:val="006202E6"/>
    <w:rsid w:val="006250CB"/>
    <w:rsid w:val="00625F17"/>
    <w:rsid w:val="006262CB"/>
    <w:rsid w:val="00626A32"/>
    <w:rsid w:val="00633B74"/>
    <w:rsid w:val="0063576C"/>
    <w:rsid w:val="00635E90"/>
    <w:rsid w:val="006371A4"/>
    <w:rsid w:val="006402EC"/>
    <w:rsid w:val="006438BA"/>
    <w:rsid w:val="00643B41"/>
    <w:rsid w:val="00644F57"/>
    <w:rsid w:val="00645816"/>
    <w:rsid w:val="00646F2E"/>
    <w:rsid w:val="00647F2D"/>
    <w:rsid w:val="00650765"/>
    <w:rsid w:val="00651114"/>
    <w:rsid w:val="0065253E"/>
    <w:rsid w:val="00654A5A"/>
    <w:rsid w:val="00655578"/>
    <w:rsid w:val="00657D50"/>
    <w:rsid w:val="006610DF"/>
    <w:rsid w:val="006611B7"/>
    <w:rsid w:val="0066223B"/>
    <w:rsid w:val="00662A89"/>
    <w:rsid w:val="00664E58"/>
    <w:rsid w:val="006654BB"/>
    <w:rsid w:val="00666BB7"/>
    <w:rsid w:val="00666C3E"/>
    <w:rsid w:val="0067237E"/>
    <w:rsid w:val="00674068"/>
    <w:rsid w:val="006740C3"/>
    <w:rsid w:val="00677558"/>
    <w:rsid w:val="006838EF"/>
    <w:rsid w:val="00692C7C"/>
    <w:rsid w:val="00693047"/>
    <w:rsid w:val="0069433B"/>
    <w:rsid w:val="0069514F"/>
    <w:rsid w:val="0069744E"/>
    <w:rsid w:val="006A01C7"/>
    <w:rsid w:val="006A0E2E"/>
    <w:rsid w:val="006A38E4"/>
    <w:rsid w:val="006A72AB"/>
    <w:rsid w:val="006B2233"/>
    <w:rsid w:val="006B3648"/>
    <w:rsid w:val="006B37FE"/>
    <w:rsid w:val="006B6187"/>
    <w:rsid w:val="006B655F"/>
    <w:rsid w:val="006C2F90"/>
    <w:rsid w:val="006C31C0"/>
    <w:rsid w:val="006C4735"/>
    <w:rsid w:val="006C4E9A"/>
    <w:rsid w:val="006C544F"/>
    <w:rsid w:val="006C54CC"/>
    <w:rsid w:val="006C785D"/>
    <w:rsid w:val="006D08E6"/>
    <w:rsid w:val="006D0F1A"/>
    <w:rsid w:val="006D369E"/>
    <w:rsid w:val="006D5A91"/>
    <w:rsid w:val="006E0370"/>
    <w:rsid w:val="006E3167"/>
    <w:rsid w:val="006E31C2"/>
    <w:rsid w:val="006E3878"/>
    <w:rsid w:val="006E6592"/>
    <w:rsid w:val="006E6BE7"/>
    <w:rsid w:val="006E776F"/>
    <w:rsid w:val="006E7EFC"/>
    <w:rsid w:val="006F20F6"/>
    <w:rsid w:val="006F4AC2"/>
    <w:rsid w:val="006F509D"/>
    <w:rsid w:val="006F5830"/>
    <w:rsid w:val="006F583D"/>
    <w:rsid w:val="007011D2"/>
    <w:rsid w:val="00701739"/>
    <w:rsid w:val="0070202A"/>
    <w:rsid w:val="00704698"/>
    <w:rsid w:val="00704E6F"/>
    <w:rsid w:val="00705353"/>
    <w:rsid w:val="00705E57"/>
    <w:rsid w:val="00707CD4"/>
    <w:rsid w:val="00711029"/>
    <w:rsid w:val="007110FA"/>
    <w:rsid w:val="0071636A"/>
    <w:rsid w:val="00717FFC"/>
    <w:rsid w:val="007208E5"/>
    <w:rsid w:val="00721AB0"/>
    <w:rsid w:val="00731B12"/>
    <w:rsid w:val="00733AA4"/>
    <w:rsid w:val="007343FF"/>
    <w:rsid w:val="00736217"/>
    <w:rsid w:val="00736A71"/>
    <w:rsid w:val="00736C4A"/>
    <w:rsid w:val="00737C97"/>
    <w:rsid w:val="0074566D"/>
    <w:rsid w:val="0074600F"/>
    <w:rsid w:val="007465E3"/>
    <w:rsid w:val="007471AC"/>
    <w:rsid w:val="00750973"/>
    <w:rsid w:val="007531FA"/>
    <w:rsid w:val="0075329E"/>
    <w:rsid w:val="00754093"/>
    <w:rsid w:val="00757348"/>
    <w:rsid w:val="0075749B"/>
    <w:rsid w:val="007603E0"/>
    <w:rsid w:val="0076261A"/>
    <w:rsid w:val="00762FC8"/>
    <w:rsid w:val="00764CB3"/>
    <w:rsid w:val="007658FB"/>
    <w:rsid w:val="0076629C"/>
    <w:rsid w:val="007666E7"/>
    <w:rsid w:val="0076680E"/>
    <w:rsid w:val="007704C9"/>
    <w:rsid w:val="00770898"/>
    <w:rsid w:val="007710B6"/>
    <w:rsid w:val="0077452E"/>
    <w:rsid w:val="0077489C"/>
    <w:rsid w:val="00777604"/>
    <w:rsid w:val="00784F87"/>
    <w:rsid w:val="007860B6"/>
    <w:rsid w:val="0078684C"/>
    <w:rsid w:val="00786A1B"/>
    <w:rsid w:val="00790D5B"/>
    <w:rsid w:val="00792B67"/>
    <w:rsid w:val="007939C1"/>
    <w:rsid w:val="0079599E"/>
    <w:rsid w:val="00795BD0"/>
    <w:rsid w:val="00795D1B"/>
    <w:rsid w:val="0079676A"/>
    <w:rsid w:val="00796BBD"/>
    <w:rsid w:val="00797F91"/>
    <w:rsid w:val="007A0136"/>
    <w:rsid w:val="007A3006"/>
    <w:rsid w:val="007A31A9"/>
    <w:rsid w:val="007A52E2"/>
    <w:rsid w:val="007A548A"/>
    <w:rsid w:val="007A6961"/>
    <w:rsid w:val="007A7518"/>
    <w:rsid w:val="007B091D"/>
    <w:rsid w:val="007B34A7"/>
    <w:rsid w:val="007B41CE"/>
    <w:rsid w:val="007B5114"/>
    <w:rsid w:val="007B5843"/>
    <w:rsid w:val="007B6A1F"/>
    <w:rsid w:val="007B7AD4"/>
    <w:rsid w:val="007C0128"/>
    <w:rsid w:val="007C1E72"/>
    <w:rsid w:val="007C1EAC"/>
    <w:rsid w:val="007C23F2"/>
    <w:rsid w:val="007C2B2D"/>
    <w:rsid w:val="007C442C"/>
    <w:rsid w:val="007C471D"/>
    <w:rsid w:val="007C5EFC"/>
    <w:rsid w:val="007C78E0"/>
    <w:rsid w:val="007D1E17"/>
    <w:rsid w:val="007D3C51"/>
    <w:rsid w:val="007D54AC"/>
    <w:rsid w:val="007D69A2"/>
    <w:rsid w:val="007E1161"/>
    <w:rsid w:val="007E19B9"/>
    <w:rsid w:val="007E1ACC"/>
    <w:rsid w:val="007E37FE"/>
    <w:rsid w:val="007E6C41"/>
    <w:rsid w:val="007F040E"/>
    <w:rsid w:val="007F091A"/>
    <w:rsid w:val="007F2FBC"/>
    <w:rsid w:val="007F49C6"/>
    <w:rsid w:val="007F72EE"/>
    <w:rsid w:val="00807671"/>
    <w:rsid w:val="008078A2"/>
    <w:rsid w:val="0080799A"/>
    <w:rsid w:val="00811085"/>
    <w:rsid w:val="00811AB9"/>
    <w:rsid w:val="008135DA"/>
    <w:rsid w:val="00816FA6"/>
    <w:rsid w:val="008243D7"/>
    <w:rsid w:val="00826EB2"/>
    <w:rsid w:val="00827304"/>
    <w:rsid w:val="00832052"/>
    <w:rsid w:val="00833C9D"/>
    <w:rsid w:val="0083569F"/>
    <w:rsid w:val="00840490"/>
    <w:rsid w:val="0084070D"/>
    <w:rsid w:val="00840C21"/>
    <w:rsid w:val="00841586"/>
    <w:rsid w:val="008418FE"/>
    <w:rsid w:val="00841ECC"/>
    <w:rsid w:val="00843B96"/>
    <w:rsid w:val="008449FA"/>
    <w:rsid w:val="00844B95"/>
    <w:rsid w:val="00844F5B"/>
    <w:rsid w:val="00845966"/>
    <w:rsid w:val="00845A51"/>
    <w:rsid w:val="008503A1"/>
    <w:rsid w:val="00851834"/>
    <w:rsid w:val="00857A5E"/>
    <w:rsid w:val="00861A25"/>
    <w:rsid w:val="00864805"/>
    <w:rsid w:val="00867EB0"/>
    <w:rsid w:val="0087018C"/>
    <w:rsid w:val="0087206D"/>
    <w:rsid w:val="008720F7"/>
    <w:rsid w:val="00875882"/>
    <w:rsid w:val="008774AC"/>
    <w:rsid w:val="008805AB"/>
    <w:rsid w:val="00880955"/>
    <w:rsid w:val="008841C8"/>
    <w:rsid w:val="00884D2E"/>
    <w:rsid w:val="0089029E"/>
    <w:rsid w:val="00890328"/>
    <w:rsid w:val="0089112D"/>
    <w:rsid w:val="00892F93"/>
    <w:rsid w:val="008937B3"/>
    <w:rsid w:val="0089466C"/>
    <w:rsid w:val="00894927"/>
    <w:rsid w:val="00894C51"/>
    <w:rsid w:val="0089512D"/>
    <w:rsid w:val="0089789A"/>
    <w:rsid w:val="008A2980"/>
    <w:rsid w:val="008A39B8"/>
    <w:rsid w:val="008A3EC6"/>
    <w:rsid w:val="008A4AF3"/>
    <w:rsid w:val="008A6C13"/>
    <w:rsid w:val="008B01E0"/>
    <w:rsid w:val="008B3FD5"/>
    <w:rsid w:val="008B4108"/>
    <w:rsid w:val="008B539B"/>
    <w:rsid w:val="008B5D75"/>
    <w:rsid w:val="008B6C5F"/>
    <w:rsid w:val="008B6DAE"/>
    <w:rsid w:val="008C0785"/>
    <w:rsid w:val="008C3937"/>
    <w:rsid w:val="008C675A"/>
    <w:rsid w:val="008C74F0"/>
    <w:rsid w:val="008D0361"/>
    <w:rsid w:val="008D32D4"/>
    <w:rsid w:val="008D353D"/>
    <w:rsid w:val="008D3DDC"/>
    <w:rsid w:val="008D4555"/>
    <w:rsid w:val="008D5393"/>
    <w:rsid w:val="008D5630"/>
    <w:rsid w:val="008D61F4"/>
    <w:rsid w:val="008D6847"/>
    <w:rsid w:val="008D6A9B"/>
    <w:rsid w:val="008D79E6"/>
    <w:rsid w:val="008E14CB"/>
    <w:rsid w:val="008E2556"/>
    <w:rsid w:val="008E3AD0"/>
    <w:rsid w:val="008E7030"/>
    <w:rsid w:val="008E77F6"/>
    <w:rsid w:val="008E7C0D"/>
    <w:rsid w:val="008F21EB"/>
    <w:rsid w:val="008F4A77"/>
    <w:rsid w:val="008F553F"/>
    <w:rsid w:val="008F69BE"/>
    <w:rsid w:val="008F74B0"/>
    <w:rsid w:val="00900802"/>
    <w:rsid w:val="0090106E"/>
    <w:rsid w:val="00902D2A"/>
    <w:rsid w:val="00906561"/>
    <w:rsid w:val="00907E9C"/>
    <w:rsid w:val="00911572"/>
    <w:rsid w:val="00914AC8"/>
    <w:rsid w:val="00920429"/>
    <w:rsid w:val="00921AEA"/>
    <w:rsid w:val="00925AE3"/>
    <w:rsid w:val="009260BC"/>
    <w:rsid w:val="009277FC"/>
    <w:rsid w:val="00927ED8"/>
    <w:rsid w:val="00930378"/>
    <w:rsid w:val="009310B9"/>
    <w:rsid w:val="00931A1C"/>
    <w:rsid w:val="00932943"/>
    <w:rsid w:val="0093408A"/>
    <w:rsid w:val="00934896"/>
    <w:rsid w:val="0093559D"/>
    <w:rsid w:val="00935970"/>
    <w:rsid w:val="00942C8C"/>
    <w:rsid w:val="00942FAA"/>
    <w:rsid w:val="00943944"/>
    <w:rsid w:val="00943B6F"/>
    <w:rsid w:val="00943D90"/>
    <w:rsid w:val="00943E3C"/>
    <w:rsid w:val="00944435"/>
    <w:rsid w:val="00944CEF"/>
    <w:rsid w:val="00946A48"/>
    <w:rsid w:val="00954B12"/>
    <w:rsid w:val="00957F74"/>
    <w:rsid w:val="009618EB"/>
    <w:rsid w:val="00961C2E"/>
    <w:rsid w:val="009636FE"/>
    <w:rsid w:val="00964FB4"/>
    <w:rsid w:val="009656F3"/>
    <w:rsid w:val="00965B5F"/>
    <w:rsid w:val="0096659A"/>
    <w:rsid w:val="0097062D"/>
    <w:rsid w:val="009727E6"/>
    <w:rsid w:val="00972AB1"/>
    <w:rsid w:val="00972CD8"/>
    <w:rsid w:val="00975DD4"/>
    <w:rsid w:val="009763C4"/>
    <w:rsid w:val="00985897"/>
    <w:rsid w:val="009861B6"/>
    <w:rsid w:val="009904A2"/>
    <w:rsid w:val="00990728"/>
    <w:rsid w:val="0099134D"/>
    <w:rsid w:val="0099322B"/>
    <w:rsid w:val="00993570"/>
    <w:rsid w:val="00994999"/>
    <w:rsid w:val="009957F2"/>
    <w:rsid w:val="00995BA5"/>
    <w:rsid w:val="009A12EE"/>
    <w:rsid w:val="009A3B43"/>
    <w:rsid w:val="009A42A8"/>
    <w:rsid w:val="009A6E36"/>
    <w:rsid w:val="009A6F27"/>
    <w:rsid w:val="009B0EC7"/>
    <w:rsid w:val="009B2F7E"/>
    <w:rsid w:val="009B4D7E"/>
    <w:rsid w:val="009C02D8"/>
    <w:rsid w:val="009C0B3A"/>
    <w:rsid w:val="009C33AC"/>
    <w:rsid w:val="009C440B"/>
    <w:rsid w:val="009C5556"/>
    <w:rsid w:val="009C5F69"/>
    <w:rsid w:val="009C7BF3"/>
    <w:rsid w:val="009C7D07"/>
    <w:rsid w:val="009D14A7"/>
    <w:rsid w:val="009D33CE"/>
    <w:rsid w:val="009D3BD9"/>
    <w:rsid w:val="009D46FA"/>
    <w:rsid w:val="009D72CB"/>
    <w:rsid w:val="009D7401"/>
    <w:rsid w:val="009E340A"/>
    <w:rsid w:val="009E4DAA"/>
    <w:rsid w:val="009E5AC0"/>
    <w:rsid w:val="009E6F3F"/>
    <w:rsid w:val="009F0E77"/>
    <w:rsid w:val="009F402A"/>
    <w:rsid w:val="009F41F5"/>
    <w:rsid w:val="009F427F"/>
    <w:rsid w:val="009F46AB"/>
    <w:rsid w:val="009F5ACB"/>
    <w:rsid w:val="009F66AF"/>
    <w:rsid w:val="00A00266"/>
    <w:rsid w:val="00A01416"/>
    <w:rsid w:val="00A03AD2"/>
    <w:rsid w:val="00A04947"/>
    <w:rsid w:val="00A049CD"/>
    <w:rsid w:val="00A05E26"/>
    <w:rsid w:val="00A06011"/>
    <w:rsid w:val="00A076B8"/>
    <w:rsid w:val="00A12B1A"/>
    <w:rsid w:val="00A12EC4"/>
    <w:rsid w:val="00A200A1"/>
    <w:rsid w:val="00A21BF9"/>
    <w:rsid w:val="00A225CE"/>
    <w:rsid w:val="00A2371F"/>
    <w:rsid w:val="00A34C1C"/>
    <w:rsid w:val="00A364F1"/>
    <w:rsid w:val="00A36832"/>
    <w:rsid w:val="00A37E1F"/>
    <w:rsid w:val="00A40F37"/>
    <w:rsid w:val="00A41226"/>
    <w:rsid w:val="00A4514C"/>
    <w:rsid w:val="00A454C3"/>
    <w:rsid w:val="00A52789"/>
    <w:rsid w:val="00A568E2"/>
    <w:rsid w:val="00A56E23"/>
    <w:rsid w:val="00A61EE3"/>
    <w:rsid w:val="00A62101"/>
    <w:rsid w:val="00A6240B"/>
    <w:rsid w:val="00A62687"/>
    <w:rsid w:val="00A62E21"/>
    <w:rsid w:val="00A63684"/>
    <w:rsid w:val="00A636AD"/>
    <w:rsid w:val="00A63F0B"/>
    <w:rsid w:val="00A64AD9"/>
    <w:rsid w:val="00A65221"/>
    <w:rsid w:val="00A65ED7"/>
    <w:rsid w:val="00A66D1A"/>
    <w:rsid w:val="00A71093"/>
    <w:rsid w:val="00A71FC9"/>
    <w:rsid w:val="00A755FE"/>
    <w:rsid w:val="00A75AB0"/>
    <w:rsid w:val="00A75B2F"/>
    <w:rsid w:val="00A75BCB"/>
    <w:rsid w:val="00A75D35"/>
    <w:rsid w:val="00A76981"/>
    <w:rsid w:val="00A8003B"/>
    <w:rsid w:val="00A8008C"/>
    <w:rsid w:val="00A817D8"/>
    <w:rsid w:val="00A81BD6"/>
    <w:rsid w:val="00A82315"/>
    <w:rsid w:val="00A83291"/>
    <w:rsid w:val="00A950E3"/>
    <w:rsid w:val="00A95DA4"/>
    <w:rsid w:val="00A96B9D"/>
    <w:rsid w:val="00A97FF8"/>
    <w:rsid w:val="00AA16BC"/>
    <w:rsid w:val="00AA268A"/>
    <w:rsid w:val="00AA3274"/>
    <w:rsid w:val="00AA339E"/>
    <w:rsid w:val="00AA4F53"/>
    <w:rsid w:val="00AA52B8"/>
    <w:rsid w:val="00AA6C9D"/>
    <w:rsid w:val="00AA78C3"/>
    <w:rsid w:val="00AB0180"/>
    <w:rsid w:val="00AB08C4"/>
    <w:rsid w:val="00AB106D"/>
    <w:rsid w:val="00AB17BD"/>
    <w:rsid w:val="00AB29EC"/>
    <w:rsid w:val="00AB49F8"/>
    <w:rsid w:val="00AB55D5"/>
    <w:rsid w:val="00AB71C5"/>
    <w:rsid w:val="00AB7EB9"/>
    <w:rsid w:val="00AC0F15"/>
    <w:rsid w:val="00AC1EA3"/>
    <w:rsid w:val="00AC2365"/>
    <w:rsid w:val="00AC3490"/>
    <w:rsid w:val="00AC3F06"/>
    <w:rsid w:val="00AC6484"/>
    <w:rsid w:val="00AC6F31"/>
    <w:rsid w:val="00AD1743"/>
    <w:rsid w:val="00AD414B"/>
    <w:rsid w:val="00AD4C75"/>
    <w:rsid w:val="00AD5A7C"/>
    <w:rsid w:val="00AD6D89"/>
    <w:rsid w:val="00AE14B9"/>
    <w:rsid w:val="00AE2186"/>
    <w:rsid w:val="00AE2DB3"/>
    <w:rsid w:val="00AE3DD1"/>
    <w:rsid w:val="00AE49E9"/>
    <w:rsid w:val="00AE5814"/>
    <w:rsid w:val="00AE7076"/>
    <w:rsid w:val="00AE7C67"/>
    <w:rsid w:val="00AF3CF8"/>
    <w:rsid w:val="00AF584F"/>
    <w:rsid w:val="00AF58CB"/>
    <w:rsid w:val="00AF59BC"/>
    <w:rsid w:val="00AF6307"/>
    <w:rsid w:val="00AF6C73"/>
    <w:rsid w:val="00AF6D57"/>
    <w:rsid w:val="00AF7DE8"/>
    <w:rsid w:val="00B004F6"/>
    <w:rsid w:val="00B01F00"/>
    <w:rsid w:val="00B02536"/>
    <w:rsid w:val="00B06CB1"/>
    <w:rsid w:val="00B11E2D"/>
    <w:rsid w:val="00B12352"/>
    <w:rsid w:val="00B1400E"/>
    <w:rsid w:val="00B14F04"/>
    <w:rsid w:val="00B16F6E"/>
    <w:rsid w:val="00B17E39"/>
    <w:rsid w:val="00B2080A"/>
    <w:rsid w:val="00B2170F"/>
    <w:rsid w:val="00B232AA"/>
    <w:rsid w:val="00B25BC4"/>
    <w:rsid w:val="00B276AE"/>
    <w:rsid w:val="00B276D2"/>
    <w:rsid w:val="00B354F1"/>
    <w:rsid w:val="00B37159"/>
    <w:rsid w:val="00B401EC"/>
    <w:rsid w:val="00B40D28"/>
    <w:rsid w:val="00B46F4F"/>
    <w:rsid w:val="00B52083"/>
    <w:rsid w:val="00B552AC"/>
    <w:rsid w:val="00B557A4"/>
    <w:rsid w:val="00B55D7E"/>
    <w:rsid w:val="00B55F50"/>
    <w:rsid w:val="00B56494"/>
    <w:rsid w:val="00B61A5D"/>
    <w:rsid w:val="00B61F81"/>
    <w:rsid w:val="00B6273A"/>
    <w:rsid w:val="00B64457"/>
    <w:rsid w:val="00B66200"/>
    <w:rsid w:val="00B66B54"/>
    <w:rsid w:val="00B677E3"/>
    <w:rsid w:val="00B70FC1"/>
    <w:rsid w:val="00B765F9"/>
    <w:rsid w:val="00B77BB8"/>
    <w:rsid w:val="00B80AB8"/>
    <w:rsid w:val="00B80E0C"/>
    <w:rsid w:val="00B85735"/>
    <w:rsid w:val="00B8643F"/>
    <w:rsid w:val="00B86C35"/>
    <w:rsid w:val="00B875E9"/>
    <w:rsid w:val="00B900F9"/>
    <w:rsid w:val="00B908F7"/>
    <w:rsid w:val="00B90DDC"/>
    <w:rsid w:val="00B91733"/>
    <w:rsid w:val="00B9252B"/>
    <w:rsid w:val="00B9274A"/>
    <w:rsid w:val="00B92D34"/>
    <w:rsid w:val="00B93708"/>
    <w:rsid w:val="00B93750"/>
    <w:rsid w:val="00B95825"/>
    <w:rsid w:val="00B9641D"/>
    <w:rsid w:val="00B9779B"/>
    <w:rsid w:val="00BA0145"/>
    <w:rsid w:val="00BA0AEB"/>
    <w:rsid w:val="00BA0F2F"/>
    <w:rsid w:val="00BA272C"/>
    <w:rsid w:val="00BA4A14"/>
    <w:rsid w:val="00BA4CDC"/>
    <w:rsid w:val="00BA6AEE"/>
    <w:rsid w:val="00BA6FAF"/>
    <w:rsid w:val="00BA72C7"/>
    <w:rsid w:val="00BB1AD7"/>
    <w:rsid w:val="00BB1E34"/>
    <w:rsid w:val="00BB2869"/>
    <w:rsid w:val="00BB3862"/>
    <w:rsid w:val="00BC189C"/>
    <w:rsid w:val="00BC2B2F"/>
    <w:rsid w:val="00BC3AC1"/>
    <w:rsid w:val="00BC3DC1"/>
    <w:rsid w:val="00BC77C4"/>
    <w:rsid w:val="00BC7A2C"/>
    <w:rsid w:val="00BD1673"/>
    <w:rsid w:val="00BD79C9"/>
    <w:rsid w:val="00BD7DCB"/>
    <w:rsid w:val="00BE0667"/>
    <w:rsid w:val="00BE1139"/>
    <w:rsid w:val="00BE204E"/>
    <w:rsid w:val="00BE41F2"/>
    <w:rsid w:val="00BE4608"/>
    <w:rsid w:val="00BE747A"/>
    <w:rsid w:val="00BE7C70"/>
    <w:rsid w:val="00BF0790"/>
    <w:rsid w:val="00BF0C79"/>
    <w:rsid w:val="00BF1778"/>
    <w:rsid w:val="00BF50FE"/>
    <w:rsid w:val="00BF55D3"/>
    <w:rsid w:val="00BF5CBB"/>
    <w:rsid w:val="00BF6659"/>
    <w:rsid w:val="00BF752A"/>
    <w:rsid w:val="00C06264"/>
    <w:rsid w:val="00C065A1"/>
    <w:rsid w:val="00C074AA"/>
    <w:rsid w:val="00C07E63"/>
    <w:rsid w:val="00C1051E"/>
    <w:rsid w:val="00C12BA1"/>
    <w:rsid w:val="00C12D18"/>
    <w:rsid w:val="00C17096"/>
    <w:rsid w:val="00C22CCA"/>
    <w:rsid w:val="00C230D9"/>
    <w:rsid w:val="00C23B13"/>
    <w:rsid w:val="00C26EBC"/>
    <w:rsid w:val="00C30B7D"/>
    <w:rsid w:val="00C30E90"/>
    <w:rsid w:val="00C32CF8"/>
    <w:rsid w:val="00C332B3"/>
    <w:rsid w:val="00C363C3"/>
    <w:rsid w:val="00C425C5"/>
    <w:rsid w:val="00C443A3"/>
    <w:rsid w:val="00C45C5C"/>
    <w:rsid w:val="00C46BC5"/>
    <w:rsid w:val="00C51902"/>
    <w:rsid w:val="00C528DF"/>
    <w:rsid w:val="00C53D81"/>
    <w:rsid w:val="00C53E78"/>
    <w:rsid w:val="00C5556C"/>
    <w:rsid w:val="00C558B9"/>
    <w:rsid w:val="00C55FE8"/>
    <w:rsid w:val="00C5614A"/>
    <w:rsid w:val="00C56172"/>
    <w:rsid w:val="00C618E1"/>
    <w:rsid w:val="00C62AEA"/>
    <w:rsid w:val="00C63F8D"/>
    <w:rsid w:val="00C70BE7"/>
    <w:rsid w:val="00C73D01"/>
    <w:rsid w:val="00C745F1"/>
    <w:rsid w:val="00C7477B"/>
    <w:rsid w:val="00C7517F"/>
    <w:rsid w:val="00C75684"/>
    <w:rsid w:val="00C75C3E"/>
    <w:rsid w:val="00C76E50"/>
    <w:rsid w:val="00C7758C"/>
    <w:rsid w:val="00C77E1B"/>
    <w:rsid w:val="00C77F15"/>
    <w:rsid w:val="00C80465"/>
    <w:rsid w:val="00C80C0B"/>
    <w:rsid w:val="00C8178D"/>
    <w:rsid w:val="00C83068"/>
    <w:rsid w:val="00C8458E"/>
    <w:rsid w:val="00C867FB"/>
    <w:rsid w:val="00C868C7"/>
    <w:rsid w:val="00C870B6"/>
    <w:rsid w:val="00C940F6"/>
    <w:rsid w:val="00C96891"/>
    <w:rsid w:val="00C968E6"/>
    <w:rsid w:val="00CA266F"/>
    <w:rsid w:val="00CA382F"/>
    <w:rsid w:val="00CA4004"/>
    <w:rsid w:val="00CA580D"/>
    <w:rsid w:val="00CA5B80"/>
    <w:rsid w:val="00CA5C96"/>
    <w:rsid w:val="00CA68ED"/>
    <w:rsid w:val="00CA6FD8"/>
    <w:rsid w:val="00CA76B2"/>
    <w:rsid w:val="00CB666A"/>
    <w:rsid w:val="00CC0295"/>
    <w:rsid w:val="00CC04F7"/>
    <w:rsid w:val="00CC0840"/>
    <w:rsid w:val="00CC1789"/>
    <w:rsid w:val="00CC2F1C"/>
    <w:rsid w:val="00CC32B4"/>
    <w:rsid w:val="00CC339D"/>
    <w:rsid w:val="00CC3A57"/>
    <w:rsid w:val="00CC43D8"/>
    <w:rsid w:val="00CC45F7"/>
    <w:rsid w:val="00CC4B4B"/>
    <w:rsid w:val="00CC4E51"/>
    <w:rsid w:val="00CC72E5"/>
    <w:rsid w:val="00CD11CC"/>
    <w:rsid w:val="00CD3976"/>
    <w:rsid w:val="00CD4A89"/>
    <w:rsid w:val="00CD6DDF"/>
    <w:rsid w:val="00CE165E"/>
    <w:rsid w:val="00CE2929"/>
    <w:rsid w:val="00CE355A"/>
    <w:rsid w:val="00CE587B"/>
    <w:rsid w:val="00CE64EB"/>
    <w:rsid w:val="00CE661C"/>
    <w:rsid w:val="00CF3FCB"/>
    <w:rsid w:val="00CF72B6"/>
    <w:rsid w:val="00CF7A9A"/>
    <w:rsid w:val="00D10536"/>
    <w:rsid w:val="00D10684"/>
    <w:rsid w:val="00D10C80"/>
    <w:rsid w:val="00D12095"/>
    <w:rsid w:val="00D12387"/>
    <w:rsid w:val="00D13DFF"/>
    <w:rsid w:val="00D17878"/>
    <w:rsid w:val="00D2217C"/>
    <w:rsid w:val="00D25EA6"/>
    <w:rsid w:val="00D26950"/>
    <w:rsid w:val="00D313C0"/>
    <w:rsid w:val="00D32E11"/>
    <w:rsid w:val="00D33F7B"/>
    <w:rsid w:val="00D33FC7"/>
    <w:rsid w:val="00D341DE"/>
    <w:rsid w:val="00D35007"/>
    <w:rsid w:val="00D35E15"/>
    <w:rsid w:val="00D3687B"/>
    <w:rsid w:val="00D369CF"/>
    <w:rsid w:val="00D36D57"/>
    <w:rsid w:val="00D376C9"/>
    <w:rsid w:val="00D421AB"/>
    <w:rsid w:val="00D44120"/>
    <w:rsid w:val="00D44382"/>
    <w:rsid w:val="00D51C48"/>
    <w:rsid w:val="00D54396"/>
    <w:rsid w:val="00D551E4"/>
    <w:rsid w:val="00D559F3"/>
    <w:rsid w:val="00D57106"/>
    <w:rsid w:val="00D57E38"/>
    <w:rsid w:val="00D60005"/>
    <w:rsid w:val="00D6047F"/>
    <w:rsid w:val="00D611B7"/>
    <w:rsid w:val="00D6128E"/>
    <w:rsid w:val="00D615DE"/>
    <w:rsid w:val="00D634B4"/>
    <w:rsid w:val="00D63B7E"/>
    <w:rsid w:val="00D64064"/>
    <w:rsid w:val="00D645B5"/>
    <w:rsid w:val="00D72722"/>
    <w:rsid w:val="00D72961"/>
    <w:rsid w:val="00D7537B"/>
    <w:rsid w:val="00D8076E"/>
    <w:rsid w:val="00D8099A"/>
    <w:rsid w:val="00D822E3"/>
    <w:rsid w:val="00D82FE6"/>
    <w:rsid w:val="00D83251"/>
    <w:rsid w:val="00D844C9"/>
    <w:rsid w:val="00D8458B"/>
    <w:rsid w:val="00D862AE"/>
    <w:rsid w:val="00D86377"/>
    <w:rsid w:val="00D90601"/>
    <w:rsid w:val="00D91CC1"/>
    <w:rsid w:val="00D92DC5"/>
    <w:rsid w:val="00D95CCB"/>
    <w:rsid w:val="00D96B52"/>
    <w:rsid w:val="00D97B8E"/>
    <w:rsid w:val="00DA0415"/>
    <w:rsid w:val="00DA0A5B"/>
    <w:rsid w:val="00DA0EF7"/>
    <w:rsid w:val="00DA1A22"/>
    <w:rsid w:val="00DA2056"/>
    <w:rsid w:val="00DA4658"/>
    <w:rsid w:val="00DB1865"/>
    <w:rsid w:val="00DB23B5"/>
    <w:rsid w:val="00DB44E9"/>
    <w:rsid w:val="00DB5C2E"/>
    <w:rsid w:val="00DB6AB0"/>
    <w:rsid w:val="00DB731C"/>
    <w:rsid w:val="00DB740B"/>
    <w:rsid w:val="00DB79B1"/>
    <w:rsid w:val="00DB7A62"/>
    <w:rsid w:val="00DC0386"/>
    <w:rsid w:val="00DC0CFF"/>
    <w:rsid w:val="00DD0A33"/>
    <w:rsid w:val="00DD1865"/>
    <w:rsid w:val="00DD2092"/>
    <w:rsid w:val="00DD254A"/>
    <w:rsid w:val="00DD7673"/>
    <w:rsid w:val="00DE115F"/>
    <w:rsid w:val="00DE24C8"/>
    <w:rsid w:val="00DE2EE2"/>
    <w:rsid w:val="00DE49CF"/>
    <w:rsid w:val="00DE786F"/>
    <w:rsid w:val="00DF134F"/>
    <w:rsid w:val="00DF18EA"/>
    <w:rsid w:val="00DF20ED"/>
    <w:rsid w:val="00DF448D"/>
    <w:rsid w:val="00DF487B"/>
    <w:rsid w:val="00DF57E2"/>
    <w:rsid w:val="00DF5DC0"/>
    <w:rsid w:val="00DF6D96"/>
    <w:rsid w:val="00E00998"/>
    <w:rsid w:val="00E0206B"/>
    <w:rsid w:val="00E02FAB"/>
    <w:rsid w:val="00E0335A"/>
    <w:rsid w:val="00E0442C"/>
    <w:rsid w:val="00E04FD1"/>
    <w:rsid w:val="00E05747"/>
    <w:rsid w:val="00E12143"/>
    <w:rsid w:val="00E12173"/>
    <w:rsid w:val="00E13B0A"/>
    <w:rsid w:val="00E16A2B"/>
    <w:rsid w:val="00E17887"/>
    <w:rsid w:val="00E200EE"/>
    <w:rsid w:val="00E2100C"/>
    <w:rsid w:val="00E226D9"/>
    <w:rsid w:val="00E22F2C"/>
    <w:rsid w:val="00E24FA2"/>
    <w:rsid w:val="00E260BB"/>
    <w:rsid w:val="00E262F0"/>
    <w:rsid w:val="00E27B72"/>
    <w:rsid w:val="00E306D2"/>
    <w:rsid w:val="00E31B34"/>
    <w:rsid w:val="00E34358"/>
    <w:rsid w:val="00E348A1"/>
    <w:rsid w:val="00E34DFB"/>
    <w:rsid w:val="00E35FB1"/>
    <w:rsid w:val="00E376E3"/>
    <w:rsid w:val="00E41236"/>
    <w:rsid w:val="00E4438F"/>
    <w:rsid w:val="00E45FA5"/>
    <w:rsid w:val="00E51162"/>
    <w:rsid w:val="00E5219E"/>
    <w:rsid w:val="00E53D1F"/>
    <w:rsid w:val="00E56C2C"/>
    <w:rsid w:val="00E5734B"/>
    <w:rsid w:val="00E60452"/>
    <w:rsid w:val="00E6302E"/>
    <w:rsid w:val="00E63A9D"/>
    <w:rsid w:val="00E63C4F"/>
    <w:rsid w:val="00E64240"/>
    <w:rsid w:val="00E6699F"/>
    <w:rsid w:val="00E6767F"/>
    <w:rsid w:val="00E7038C"/>
    <w:rsid w:val="00E70D83"/>
    <w:rsid w:val="00E73026"/>
    <w:rsid w:val="00E73F2F"/>
    <w:rsid w:val="00E7486A"/>
    <w:rsid w:val="00E74B1A"/>
    <w:rsid w:val="00E753C5"/>
    <w:rsid w:val="00E75525"/>
    <w:rsid w:val="00E82E0D"/>
    <w:rsid w:val="00E8322B"/>
    <w:rsid w:val="00E84941"/>
    <w:rsid w:val="00E8644D"/>
    <w:rsid w:val="00E90516"/>
    <w:rsid w:val="00E90A10"/>
    <w:rsid w:val="00E91D8F"/>
    <w:rsid w:val="00E93C7A"/>
    <w:rsid w:val="00E94D75"/>
    <w:rsid w:val="00E96F3C"/>
    <w:rsid w:val="00EA015E"/>
    <w:rsid w:val="00EA0B36"/>
    <w:rsid w:val="00EA2FC9"/>
    <w:rsid w:val="00EA4C4B"/>
    <w:rsid w:val="00EA79F0"/>
    <w:rsid w:val="00EB010E"/>
    <w:rsid w:val="00EB0B13"/>
    <w:rsid w:val="00EB1D8E"/>
    <w:rsid w:val="00EB39FA"/>
    <w:rsid w:val="00EB5E12"/>
    <w:rsid w:val="00EC081A"/>
    <w:rsid w:val="00EC0E52"/>
    <w:rsid w:val="00EC13AE"/>
    <w:rsid w:val="00EC2761"/>
    <w:rsid w:val="00EC3657"/>
    <w:rsid w:val="00EC4B06"/>
    <w:rsid w:val="00EC63E2"/>
    <w:rsid w:val="00EC7716"/>
    <w:rsid w:val="00ED051B"/>
    <w:rsid w:val="00ED0BB8"/>
    <w:rsid w:val="00ED1330"/>
    <w:rsid w:val="00ED34BA"/>
    <w:rsid w:val="00ED4101"/>
    <w:rsid w:val="00ED5B1A"/>
    <w:rsid w:val="00ED6840"/>
    <w:rsid w:val="00ED74FF"/>
    <w:rsid w:val="00ED7F1D"/>
    <w:rsid w:val="00EE10BC"/>
    <w:rsid w:val="00EE47B6"/>
    <w:rsid w:val="00EE6D7D"/>
    <w:rsid w:val="00EF220F"/>
    <w:rsid w:val="00EF61AB"/>
    <w:rsid w:val="00EF71A8"/>
    <w:rsid w:val="00EF7DC2"/>
    <w:rsid w:val="00F00023"/>
    <w:rsid w:val="00F00DAE"/>
    <w:rsid w:val="00F019FC"/>
    <w:rsid w:val="00F01C71"/>
    <w:rsid w:val="00F04717"/>
    <w:rsid w:val="00F0532B"/>
    <w:rsid w:val="00F06257"/>
    <w:rsid w:val="00F0789F"/>
    <w:rsid w:val="00F11291"/>
    <w:rsid w:val="00F116B2"/>
    <w:rsid w:val="00F135DC"/>
    <w:rsid w:val="00F13A58"/>
    <w:rsid w:val="00F13C33"/>
    <w:rsid w:val="00F1429E"/>
    <w:rsid w:val="00F1575C"/>
    <w:rsid w:val="00F177E6"/>
    <w:rsid w:val="00F229DF"/>
    <w:rsid w:val="00F26149"/>
    <w:rsid w:val="00F27B5C"/>
    <w:rsid w:val="00F27C55"/>
    <w:rsid w:val="00F31342"/>
    <w:rsid w:val="00F359B9"/>
    <w:rsid w:val="00F35B85"/>
    <w:rsid w:val="00F36156"/>
    <w:rsid w:val="00F361BB"/>
    <w:rsid w:val="00F40D0C"/>
    <w:rsid w:val="00F43625"/>
    <w:rsid w:val="00F44C6D"/>
    <w:rsid w:val="00F467D3"/>
    <w:rsid w:val="00F4763B"/>
    <w:rsid w:val="00F50C12"/>
    <w:rsid w:val="00F52D2D"/>
    <w:rsid w:val="00F52FF8"/>
    <w:rsid w:val="00F531F8"/>
    <w:rsid w:val="00F540EA"/>
    <w:rsid w:val="00F542CB"/>
    <w:rsid w:val="00F54DAA"/>
    <w:rsid w:val="00F55865"/>
    <w:rsid w:val="00F56058"/>
    <w:rsid w:val="00F57717"/>
    <w:rsid w:val="00F60310"/>
    <w:rsid w:val="00F6206B"/>
    <w:rsid w:val="00F62ACB"/>
    <w:rsid w:val="00F63945"/>
    <w:rsid w:val="00F63A32"/>
    <w:rsid w:val="00F647A2"/>
    <w:rsid w:val="00F64A15"/>
    <w:rsid w:val="00F651FF"/>
    <w:rsid w:val="00F6540F"/>
    <w:rsid w:val="00F655CF"/>
    <w:rsid w:val="00F6754B"/>
    <w:rsid w:val="00F70EE3"/>
    <w:rsid w:val="00F71613"/>
    <w:rsid w:val="00F71733"/>
    <w:rsid w:val="00F722E0"/>
    <w:rsid w:val="00F728DD"/>
    <w:rsid w:val="00F73779"/>
    <w:rsid w:val="00F80660"/>
    <w:rsid w:val="00F86DBA"/>
    <w:rsid w:val="00F87999"/>
    <w:rsid w:val="00F91552"/>
    <w:rsid w:val="00F92DA5"/>
    <w:rsid w:val="00F92EC0"/>
    <w:rsid w:val="00F97527"/>
    <w:rsid w:val="00FA060B"/>
    <w:rsid w:val="00FA10AC"/>
    <w:rsid w:val="00FA27C5"/>
    <w:rsid w:val="00FA5C4C"/>
    <w:rsid w:val="00FB0751"/>
    <w:rsid w:val="00FB3F28"/>
    <w:rsid w:val="00FB5568"/>
    <w:rsid w:val="00FB596F"/>
    <w:rsid w:val="00FB5989"/>
    <w:rsid w:val="00FB59E0"/>
    <w:rsid w:val="00FB7425"/>
    <w:rsid w:val="00FC3320"/>
    <w:rsid w:val="00FC3595"/>
    <w:rsid w:val="00FC3A38"/>
    <w:rsid w:val="00FC3E3D"/>
    <w:rsid w:val="00FC4F93"/>
    <w:rsid w:val="00FC63B8"/>
    <w:rsid w:val="00FD1DD6"/>
    <w:rsid w:val="00FD322A"/>
    <w:rsid w:val="00FD3DBF"/>
    <w:rsid w:val="00FD5F91"/>
    <w:rsid w:val="00FE3427"/>
    <w:rsid w:val="00FE4AC0"/>
    <w:rsid w:val="00FE4FEC"/>
    <w:rsid w:val="00FE50F2"/>
    <w:rsid w:val="00FE59E4"/>
    <w:rsid w:val="00FF291F"/>
    <w:rsid w:val="00FF2B1B"/>
    <w:rsid w:val="00FF5114"/>
    <w:rsid w:val="00FF65BF"/>
    <w:rsid w:val="00FF6D77"/>
    <w:rsid w:val="00FF6E5A"/>
    <w:rsid w:val="00FF7BAE"/>
    <w:rsid w:val="00FF7D56"/>
    <w:rsid w:val="010333A0"/>
    <w:rsid w:val="010A1549"/>
    <w:rsid w:val="010C3DC8"/>
    <w:rsid w:val="01172159"/>
    <w:rsid w:val="011B76D7"/>
    <w:rsid w:val="011E4629"/>
    <w:rsid w:val="012E64FB"/>
    <w:rsid w:val="017E43EC"/>
    <w:rsid w:val="01BA6257"/>
    <w:rsid w:val="01F24822"/>
    <w:rsid w:val="02061859"/>
    <w:rsid w:val="020C4532"/>
    <w:rsid w:val="020E7FBB"/>
    <w:rsid w:val="021F7A4F"/>
    <w:rsid w:val="024478BD"/>
    <w:rsid w:val="02A32239"/>
    <w:rsid w:val="02AF4371"/>
    <w:rsid w:val="02C35AD4"/>
    <w:rsid w:val="02E41947"/>
    <w:rsid w:val="02F71CD9"/>
    <w:rsid w:val="02F72450"/>
    <w:rsid w:val="031E1B73"/>
    <w:rsid w:val="03321B6C"/>
    <w:rsid w:val="03454BDB"/>
    <w:rsid w:val="035C61A4"/>
    <w:rsid w:val="03634626"/>
    <w:rsid w:val="03AE018C"/>
    <w:rsid w:val="03D25E1B"/>
    <w:rsid w:val="03E43571"/>
    <w:rsid w:val="041C355E"/>
    <w:rsid w:val="04486E4F"/>
    <w:rsid w:val="04502877"/>
    <w:rsid w:val="047D1B8D"/>
    <w:rsid w:val="048900BC"/>
    <w:rsid w:val="04A14F3F"/>
    <w:rsid w:val="04C00B5C"/>
    <w:rsid w:val="04D253F8"/>
    <w:rsid w:val="05693651"/>
    <w:rsid w:val="05834C7D"/>
    <w:rsid w:val="05905BC5"/>
    <w:rsid w:val="05D62C51"/>
    <w:rsid w:val="060F0C8C"/>
    <w:rsid w:val="06285B9E"/>
    <w:rsid w:val="06BC6527"/>
    <w:rsid w:val="071646F8"/>
    <w:rsid w:val="07277E78"/>
    <w:rsid w:val="07472FFA"/>
    <w:rsid w:val="07972AF0"/>
    <w:rsid w:val="07B53C2C"/>
    <w:rsid w:val="07DF63AD"/>
    <w:rsid w:val="07EE110E"/>
    <w:rsid w:val="0835105F"/>
    <w:rsid w:val="08596FBD"/>
    <w:rsid w:val="08640D4D"/>
    <w:rsid w:val="0879390C"/>
    <w:rsid w:val="08A07F41"/>
    <w:rsid w:val="08AC0C1F"/>
    <w:rsid w:val="090130FA"/>
    <w:rsid w:val="09475044"/>
    <w:rsid w:val="097C3D4B"/>
    <w:rsid w:val="09842920"/>
    <w:rsid w:val="09916AA9"/>
    <w:rsid w:val="09985A52"/>
    <w:rsid w:val="09C91A30"/>
    <w:rsid w:val="09E17EC4"/>
    <w:rsid w:val="0A050347"/>
    <w:rsid w:val="0A287916"/>
    <w:rsid w:val="0A45796B"/>
    <w:rsid w:val="0A570314"/>
    <w:rsid w:val="0A664077"/>
    <w:rsid w:val="0A960E3D"/>
    <w:rsid w:val="0AC459AA"/>
    <w:rsid w:val="0AF01503"/>
    <w:rsid w:val="0B20569B"/>
    <w:rsid w:val="0B216BEA"/>
    <w:rsid w:val="0BBD7F0D"/>
    <w:rsid w:val="0BC76BDF"/>
    <w:rsid w:val="0BDB744F"/>
    <w:rsid w:val="0BF81EBB"/>
    <w:rsid w:val="0C165C52"/>
    <w:rsid w:val="0C3772AD"/>
    <w:rsid w:val="0C457330"/>
    <w:rsid w:val="0C604272"/>
    <w:rsid w:val="0C7B2833"/>
    <w:rsid w:val="0C8468E5"/>
    <w:rsid w:val="0CA40363"/>
    <w:rsid w:val="0CB51D45"/>
    <w:rsid w:val="0CE055C7"/>
    <w:rsid w:val="0D051778"/>
    <w:rsid w:val="0D177805"/>
    <w:rsid w:val="0D3D74E3"/>
    <w:rsid w:val="0DBC0BBA"/>
    <w:rsid w:val="0DBE7D03"/>
    <w:rsid w:val="0DCB2A93"/>
    <w:rsid w:val="0E046704"/>
    <w:rsid w:val="0E393251"/>
    <w:rsid w:val="0E594AB8"/>
    <w:rsid w:val="0E7B0D2D"/>
    <w:rsid w:val="0EBA2BBB"/>
    <w:rsid w:val="0EC105D2"/>
    <w:rsid w:val="0EC71E56"/>
    <w:rsid w:val="0EC75A69"/>
    <w:rsid w:val="0ED97D03"/>
    <w:rsid w:val="0EEB2D95"/>
    <w:rsid w:val="0EFD3609"/>
    <w:rsid w:val="0EFF06FE"/>
    <w:rsid w:val="0F346BE4"/>
    <w:rsid w:val="0F4A578F"/>
    <w:rsid w:val="0F587758"/>
    <w:rsid w:val="0F6A6530"/>
    <w:rsid w:val="0F847DFE"/>
    <w:rsid w:val="0F8A544B"/>
    <w:rsid w:val="0F937926"/>
    <w:rsid w:val="0FB748D6"/>
    <w:rsid w:val="0FE03CEB"/>
    <w:rsid w:val="10154A15"/>
    <w:rsid w:val="101B2883"/>
    <w:rsid w:val="10244ECB"/>
    <w:rsid w:val="102F2427"/>
    <w:rsid w:val="107A16F9"/>
    <w:rsid w:val="10A6086D"/>
    <w:rsid w:val="11181047"/>
    <w:rsid w:val="1149506D"/>
    <w:rsid w:val="114E06C3"/>
    <w:rsid w:val="11860465"/>
    <w:rsid w:val="11A27430"/>
    <w:rsid w:val="11B2533B"/>
    <w:rsid w:val="11B85F4C"/>
    <w:rsid w:val="11D854F4"/>
    <w:rsid w:val="1206323A"/>
    <w:rsid w:val="121D4633"/>
    <w:rsid w:val="12307DC9"/>
    <w:rsid w:val="12746F30"/>
    <w:rsid w:val="128679E9"/>
    <w:rsid w:val="12955195"/>
    <w:rsid w:val="12A706B0"/>
    <w:rsid w:val="12C9757E"/>
    <w:rsid w:val="12CD386A"/>
    <w:rsid w:val="12E74282"/>
    <w:rsid w:val="12E95684"/>
    <w:rsid w:val="12EA07C4"/>
    <w:rsid w:val="13166FBF"/>
    <w:rsid w:val="131C2C50"/>
    <w:rsid w:val="13581ED2"/>
    <w:rsid w:val="13751166"/>
    <w:rsid w:val="13823595"/>
    <w:rsid w:val="13A97617"/>
    <w:rsid w:val="13B96317"/>
    <w:rsid w:val="13D122F8"/>
    <w:rsid w:val="13D34EB0"/>
    <w:rsid w:val="13D42198"/>
    <w:rsid w:val="13E62E35"/>
    <w:rsid w:val="13EB21F9"/>
    <w:rsid w:val="13FA0934"/>
    <w:rsid w:val="141F27AD"/>
    <w:rsid w:val="14281202"/>
    <w:rsid w:val="142B2BA6"/>
    <w:rsid w:val="14496855"/>
    <w:rsid w:val="14861E55"/>
    <w:rsid w:val="149A3C1F"/>
    <w:rsid w:val="14AE2ED7"/>
    <w:rsid w:val="14B43DA1"/>
    <w:rsid w:val="14BF3658"/>
    <w:rsid w:val="14E162DB"/>
    <w:rsid w:val="14F31F62"/>
    <w:rsid w:val="14F774F7"/>
    <w:rsid w:val="153B4ABB"/>
    <w:rsid w:val="15453C3A"/>
    <w:rsid w:val="155E6769"/>
    <w:rsid w:val="15A27034"/>
    <w:rsid w:val="15BE7D72"/>
    <w:rsid w:val="15BF6752"/>
    <w:rsid w:val="15EA64E1"/>
    <w:rsid w:val="15EB69A4"/>
    <w:rsid w:val="15EF71EF"/>
    <w:rsid w:val="161C0F4A"/>
    <w:rsid w:val="16861D9E"/>
    <w:rsid w:val="16944C04"/>
    <w:rsid w:val="16C91FD2"/>
    <w:rsid w:val="170A7A94"/>
    <w:rsid w:val="170E5A84"/>
    <w:rsid w:val="177440BB"/>
    <w:rsid w:val="17881A1A"/>
    <w:rsid w:val="17C90675"/>
    <w:rsid w:val="17DC7AB4"/>
    <w:rsid w:val="17E51A5B"/>
    <w:rsid w:val="17FF1E40"/>
    <w:rsid w:val="18115FA7"/>
    <w:rsid w:val="18221F62"/>
    <w:rsid w:val="182A55C6"/>
    <w:rsid w:val="182A7068"/>
    <w:rsid w:val="183D4222"/>
    <w:rsid w:val="187D2BE2"/>
    <w:rsid w:val="188D692C"/>
    <w:rsid w:val="18A21F84"/>
    <w:rsid w:val="18C71947"/>
    <w:rsid w:val="18CB084B"/>
    <w:rsid w:val="18F17FB8"/>
    <w:rsid w:val="192B66F7"/>
    <w:rsid w:val="192B734F"/>
    <w:rsid w:val="193005BD"/>
    <w:rsid w:val="19481E9C"/>
    <w:rsid w:val="19587DA9"/>
    <w:rsid w:val="196C0996"/>
    <w:rsid w:val="197131A1"/>
    <w:rsid w:val="1999661C"/>
    <w:rsid w:val="19EC5FFF"/>
    <w:rsid w:val="19F63FB6"/>
    <w:rsid w:val="1A915862"/>
    <w:rsid w:val="1AE06E62"/>
    <w:rsid w:val="1B181F06"/>
    <w:rsid w:val="1B1A2819"/>
    <w:rsid w:val="1B27179A"/>
    <w:rsid w:val="1B3D2FD3"/>
    <w:rsid w:val="1B621A1A"/>
    <w:rsid w:val="1B8B3193"/>
    <w:rsid w:val="1BA23245"/>
    <w:rsid w:val="1BA57132"/>
    <w:rsid w:val="1BDE3D57"/>
    <w:rsid w:val="1BE56D81"/>
    <w:rsid w:val="1BFD0913"/>
    <w:rsid w:val="1C004AC6"/>
    <w:rsid w:val="1C2E454B"/>
    <w:rsid w:val="1C4C25D1"/>
    <w:rsid w:val="1C6F4FB4"/>
    <w:rsid w:val="1C7716C9"/>
    <w:rsid w:val="1C7D53EC"/>
    <w:rsid w:val="1C9A3E7A"/>
    <w:rsid w:val="1CFA0F14"/>
    <w:rsid w:val="1CFD391F"/>
    <w:rsid w:val="1D081CB0"/>
    <w:rsid w:val="1D0C57D6"/>
    <w:rsid w:val="1D182838"/>
    <w:rsid w:val="1D2D435C"/>
    <w:rsid w:val="1D3E4388"/>
    <w:rsid w:val="1DA04CF3"/>
    <w:rsid w:val="1DB02212"/>
    <w:rsid w:val="1E2B7204"/>
    <w:rsid w:val="1E5D03AA"/>
    <w:rsid w:val="1E764889"/>
    <w:rsid w:val="1E871C90"/>
    <w:rsid w:val="1E9342FB"/>
    <w:rsid w:val="1EB9375C"/>
    <w:rsid w:val="1ED42CB7"/>
    <w:rsid w:val="1EE344FB"/>
    <w:rsid w:val="1EF0778D"/>
    <w:rsid w:val="1F011171"/>
    <w:rsid w:val="1F5A0DE8"/>
    <w:rsid w:val="1F760E3F"/>
    <w:rsid w:val="1F973235"/>
    <w:rsid w:val="200A25AC"/>
    <w:rsid w:val="20225AA4"/>
    <w:rsid w:val="2059498F"/>
    <w:rsid w:val="20790B8D"/>
    <w:rsid w:val="208F5F5F"/>
    <w:rsid w:val="20B23630"/>
    <w:rsid w:val="20C55CCB"/>
    <w:rsid w:val="20CB03E5"/>
    <w:rsid w:val="20DC0A22"/>
    <w:rsid w:val="20DE1DFF"/>
    <w:rsid w:val="20E067CE"/>
    <w:rsid w:val="210236E8"/>
    <w:rsid w:val="211A7DC5"/>
    <w:rsid w:val="21283620"/>
    <w:rsid w:val="21452025"/>
    <w:rsid w:val="2160637D"/>
    <w:rsid w:val="216F7B42"/>
    <w:rsid w:val="21CC3076"/>
    <w:rsid w:val="21F04E7F"/>
    <w:rsid w:val="21F221AD"/>
    <w:rsid w:val="220C7566"/>
    <w:rsid w:val="2233534E"/>
    <w:rsid w:val="227F6529"/>
    <w:rsid w:val="22851438"/>
    <w:rsid w:val="228D03B1"/>
    <w:rsid w:val="22A10C5C"/>
    <w:rsid w:val="22DA1E90"/>
    <w:rsid w:val="22FB6A6E"/>
    <w:rsid w:val="2302396E"/>
    <w:rsid w:val="232F4FC7"/>
    <w:rsid w:val="236473AE"/>
    <w:rsid w:val="238D461E"/>
    <w:rsid w:val="24217539"/>
    <w:rsid w:val="24485B15"/>
    <w:rsid w:val="245552A4"/>
    <w:rsid w:val="24794549"/>
    <w:rsid w:val="24C745BD"/>
    <w:rsid w:val="24D5065E"/>
    <w:rsid w:val="25107289"/>
    <w:rsid w:val="25280F7D"/>
    <w:rsid w:val="25360931"/>
    <w:rsid w:val="25480569"/>
    <w:rsid w:val="254F4997"/>
    <w:rsid w:val="25507803"/>
    <w:rsid w:val="25BC45F6"/>
    <w:rsid w:val="264B7CA8"/>
    <w:rsid w:val="26611856"/>
    <w:rsid w:val="267A2BE1"/>
    <w:rsid w:val="268676F4"/>
    <w:rsid w:val="26AD0553"/>
    <w:rsid w:val="26BB086A"/>
    <w:rsid w:val="26C80178"/>
    <w:rsid w:val="27136BF9"/>
    <w:rsid w:val="272A364F"/>
    <w:rsid w:val="274C05EC"/>
    <w:rsid w:val="275540EA"/>
    <w:rsid w:val="27573B35"/>
    <w:rsid w:val="2762185E"/>
    <w:rsid w:val="276430B7"/>
    <w:rsid w:val="276A3290"/>
    <w:rsid w:val="276E0D20"/>
    <w:rsid w:val="278A6506"/>
    <w:rsid w:val="278D356F"/>
    <w:rsid w:val="279B7CC1"/>
    <w:rsid w:val="27A45A3D"/>
    <w:rsid w:val="27AD29E1"/>
    <w:rsid w:val="281F7451"/>
    <w:rsid w:val="28255B13"/>
    <w:rsid w:val="28876D8D"/>
    <w:rsid w:val="28B1694E"/>
    <w:rsid w:val="28E959E4"/>
    <w:rsid w:val="28EF304B"/>
    <w:rsid w:val="295065DF"/>
    <w:rsid w:val="296A19BB"/>
    <w:rsid w:val="29757990"/>
    <w:rsid w:val="29864B32"/>
    <w:rsid w:val="29C0198B"/>
    <w:rsid w:val="29CD7A18"/>
    <w:rsid w:val="29D60DFE"/>
    <w:rsid w:val="2A012DF7"/>
    <w:rsid w:val="2A0C0FD8"/>
    <w:rsid w:val="2A0D7D09"/>
    <w:rsid w:val="2A0E7645"/>
    <w:rsid w:val="2A1973CC"/>
    <w:rsid w:val="2A294EE7"/>
    <w:rsid w:val="2A2D713F"/>
    <w:rsid w:val="2A402C4F"/>
    <w:rsid w:val="2A8B2A8B"/>
    <w:rsid w:val="2AC45FFB"/>
    <w:rsid w:val="2AE80DE9"/>
    <w:rsid w:val="2AF53506"/>
    <w:rsid w:val="2B1E6C4A"/>
    <w:rsid w:val="2B4050C8"/>
    <w:rsid w:val="2B430679"/>
    <w:rsid w:val="2B585C97"/>
    <w:rsid w:val="2B7C1F4D"/>
    <w:rsid w:val="2BA2543C"/>
    <w:rsid w:val="2BCC1300"/>
    <w:rsid w:val="2BE47705"/>
    <w:rsid w:val="2BE775F5"/>
    <w:rsid w:val="2C136339"/>
    <w:rsid w:val="2C4B782D"/>
    <w:rsid w:val="2C6E5650"/>
    <w:rsid w:val="2C771A2B"/>
    <w:rsid w:val="2CCA14A9"/>
    <w:rsid w:val="2CCB2770"/>
    <w:rsid w:val="2CE04FCD"/>
    <w:rsid w:val="2D0D49F6"/>
    <w:rsid w:val="2D177B16"/>
    <w:rsid w:val="2D442200"/>
    <w:rsid w:val="2D5E787F"/>
    <w:rsid w:val="2D6F063C"/>
    <w:rsid w:val="2DAA4A7C"/>
    <w:rsid w:val="2DAB02CE"/>
    <w:rsid w:val="2DBC4344"/>
    <w:rsid w:val="2DCC2493"/>
    <w:rsid w:val="2DEF248E"/>
    <w:rsid w:val="2DF1328C"/>
    <w:rsid w:val="2E3422EC"/>
    <w:rsid w:val="2E4078C8"/>
    <w:rsid w:val="2E567FF1"/>
    <w:rsid w:val="2E6C1D31"/>
    <w:rsid w:val="2E6F2E67"/>
    <w:rsid w:val="2EAE3F59"/>
    <w:rsid w:val="2ED2658A"/>
    <w:rsid w:val="2F302D5E"/>
    <w:rsid w:val="2F444C18"/>
    <w:rsid w:val="2F670D36"/>
    <w:rsid w:val="2F9A2FD5"/>
    <w:rsid w:val="2FBB2BF1"/>
    <w:rsid w:val="2FDB4936"/>
    <w:rsid w:val="2FF75CCF"/>
    <w:rsid w:val="301050A2"/>
    <w:rsid w:val="30313EB4"/>
    <w:rsid w:val="30316E1F"/>
    <w:rsid w:val="305C56E5"/>
    <w:rsid w:val="307D1B5C"/>
    <w:rsid w:val="30827310"/>
    <w:rsid w:val="30CA06AC"/>
    <w:rsid w:val="30CA599B"/>
    <w:rsid w:val="30D335E8"/>
    <w:rsid w:val="30D87983"/>
    <w:rsid w:val="30E93938"/>
    <w:rsid w:val="310007D0"/>
    <w:rsid w:val="315F0053"/>
    <w:rsid w:val="315F6697"/>
    <w:rsid w:val="316A07AA"/>
    <w:rsid w:val="320247EE"/>
    <w:rsid w:val="322E289B"/>
    <w:rsid w:val="3256397A"/>
    <w:rsid w:val="325D6907"/>
    <w:rsid w:val="326F76CF"/>
    <w:rsid w:val="329D695D"/>
    <w:rsid w:val="32B94B50"/>
    <w:rsid w:val="32D413C8"/>
    <w:rsid w:val="33420C3E"/>
    <w:rsid w:val="338E6D98"/>
    <w:rsid w:val="33B10912"/>
    <w:rsid w:val="340F1A91"/>
    <w:rsid w:val="341111F6"/>
    <w:rsid w:val="344765B3"/>
    <w:rsid w:val="347C7ED1"/>
    <w:rsid w:val="34850D85"/>
    <w:rsid w:val="34AD5041"/>
    <w:rsid w:val="34CE60E0"/>
    <w:rsid w:val="34D70FDD"/>
    <w:rsid w:val="34DB3F45"/>
    <w:rsid w:val="35041D9D"/>
    <w:rsid w:val="35043B73"/>
    <w:rsid w:val="35121EA0"/>
    <w:rsid w:val="35794B54"/>
    <w:rsid w:val="35D55C1A"/>
    <w:rsid w:val="35D93262"/>
    <w:rsid w:val="35ED5099"/>
    <w:rsid w:val="35F86AAC"/>
    <w:rsid w:val="363264CA"/>
    <w:rsid w:val="36843E63"/>
    <w:rsid w:val="368F5FAE"/>
    <w:rsid w:val="3698209D"/>
    <w:rsid w:val="36B85B13"/>
    <w:rsid w:val="36C9537B"/>
    <w:rsid w:val="36D029F6"/>
    <w:rsid w:val="36F44677"/>
    <w:rsid w:val="37142B91"/>
    <w:rsid w:val="37252116"/>
    <w:rsid w:val="372B16D7"/>
    <w:rsid w:val="3736727A"/>
    <w:rsid w:val="375021F0"/>
    <w:rsid w:val="37555379"/>
    <w:rsid w:val="376B527C"/>
    <w:rsid w:val="376E5B9C"/>
    <w:rsid w:val="37855E7E"/>
    <w:rsid w:val="379410D3"/>
    <w:rsid w:val="37B94F4D"/>
    <w:rsid w:val="37E55ED2"/>
    <w:rsid w:val="37EA349E"/>
    <w:rsid w:val="37EB2314"/>
    <w:rsid w:val="37FA03AE"/>
    <w:rsid w:val="37FB2AFB"/>
    <w:rsid w:val="38207B2D"/>
    <w:rsid w:val="384A19BE"/>
    <w:rsid w:val="3855453A"/>
    <w:rsid w:val="38741F0E"/>
    <w:rsid w:val="38B5520E"/>
    <w:rsid w:val="38C504AA"/>
    <w:rsid w:val="38E77BEB"/>
    <w:rsid w:val="38E946AA"/>
    <w:rsid w:val="38EB6F4F"/>
    <w:rsid w:val="38EC7C07"/>
    <w:rsid w:val="390908A8"/>
    <w:rsid w:val="39532A91"/>
    <w:rsid w:val="395835DE"/>
    <w:rsid w:val="39D52E9F"/>
    <w:rsid w:val="39DD52FC"/>
    <w:rsid w:val="39E728FE"/>
    <w:rsid w:val="3A265D5F"/>
    <w:rsid w:val="3A3E409C"/>
    <w:rsid w:val="3A8328DC"/>
    <w:rsid w:val="3A925D2C"/>
    <w:rsid w:val="3AA76CFA"/>
    <w:rsid w:val="3AB95A78"/>
    <w:rsid w:val="3AFC4426"/>
    <w:rsid w:val="3B426568"/>
    <w:rsid w:val="3B4B2FB4"/>
    <w:rsid w:val="3B5D041D"/>
    <w:rsid w:val="3B6E698C"/>
    <w:rsid w:val="3B761809"/>
    <w:rsid w:val="3BE41A93"/>
    <w:rsid w:val="3C0640A1"/>
    <w:rsid w:val="3C317D4F"/>
    <w:rsid w:val="3C353C1F"/>
    <w:rsid w:val="3C3976F6"/>
    <w:rsid w:val="3C8470CB"/>
    <w:rsid w:val="3C95058F"/>
    <w:rsid w:val="3C9607E4"/>
    <w:rsid w:val="3CAB2E35"/>
    <w:rsid w:val="3CB92409"/>
    <w:rsid w:val="3CEF0FDD"/>
    <w:rsid w:val="3D615C3B"/>
    <w:rsid w:val="3D7B5AED"/>
    <w:rsid w:val="3DA779C7"/>
    <w:rsid w:val="3DBF3C2B"/>
    <w:rsid w:val="3DEE5E60"/>
    <w:rsid w:val="3E2E698E"/>
    <w:rsid w:val="3E4800C5"/>
    <w:rsid w:val="3E480D1D"/>
    <w:rsid w:val="3E4D6394"/>
    <w:rsid w:val="3E771DC7"/>
    <w:rsid w:val="3EC304B3"/>
    <w:rsid w:val="3ED13E4E"/>
    <w:rsid w:val="3F791001"/>
    <w:rsid w:val="3FA141F3"/>
    <w:rsid w:val="3FAC01DF"/>
    <w:rsid w:val="3FE24C5D"/>
    <w:rsid w:val="3FE44860"/>
    <w:rsid w:val="3FFC3E26"/>
    <w:rsid w:val="40104C12"/>
    <w:rsid w:val="402634D0"/>
    <w:rsid w:val="404C3DAE"/>
    <w:rsid w:val="40560B4D"/>
    <w:rsid w:val="40A36CE3"/>
    <w:rsid w:val="417A260E"/>
    <w:rsid w:val="418D149A"/>
    <w:rsid w:val="41C924E8"/>
    <w:rsid w:val="41CF2624"/>
    <w:rsid w:val="41D41DD6"/>
    <w:rsid w:val="41E66507"/>
    <w:rsid w:val="41E73751"/>
    <w:rsid w:val="41F93A7E"/>
    <w:rsid w:val="423A001C"/>
    <w:rsid w:val="4272419F"/>
    <w:rsid w:val="429D177B"/>
    <w:rsid w:val="42CF6DDE"/>
    <w:rsid w:val="42EF16DB"/>
    <w:rsid w:val="430246BE"/>
    <w:rsid w:val="433311D6"/>
    <w:rsid w:val="43567A6D"/>
    <w:rsid w:val="437806D5"/>
    <w:rsid w:val="43795D44"/>
    <w:rsid w:val="437C5987"/>
    <w:rsid w:val="43810399"/>
    <w:rsid w:val="439E630C"/>
    <w:rsid w:val="439E7EFB"/>
    <w:rsid w:val="43CE3297"/>
    <w:rsid w:val="44157A1D"/>
    <w:rsid w:val="444E3F5B"/>
    <w:rsid w:val="44775A91"/>
    <w:rsid w:val="44935D5D"/>
    <w:rsid w:val="449E3F74"/>
    <w:rsid w:val="44E623E5"/>
    <w:rsid w:val="44ED2D87"/>
    <w:rsid w:val="44F763A1"/>
    <w:rsid w:val="44F9688C"/>
    <w:rsid w:val="45012304"/>
    <w:rsid w:val="451757B0"/>
    <w:rsid w:val="456F5BF8"/>
    <w:rsid w:val="45B075BA"/>
    <w:rsid w:val="45FB4A57"/>
    <w:rsid w:val="460132DB"/>
    <w:rsid w:val="46462511"/>
    <w:rsid w:val="464A7C36"/>
    <w:rsid w:val="464E0242"/>
    <w:rsid w:val="46616AE4"/>
    <w:rsid w:val="46752C94"/>
    <w:rsid w:val="467D3536"/>
    <w:rsid w:val="469C7B28"/>
    <w:rsid w:val="46B83E6E"/>
    <w:rsid w:val="46E10058"/>
    <w:rsid w:val="4729480B"/>
    <w:rsid w:val="47481EFB"/>
    <w:rsid w:val="478353DD"/>
    <w:rsid w:val="47CC7A6C"/>
    <w:rsid w:val="47DB4EEF"/>
    <w:rsid w:val="4805593E"/>
    <w:rsid w:val="48142C82"/>
    <w:rsid w:val="481705B9"/>
    <w:rsid w:val="48C864A0"/>
    <w:rsid w:val="4961373A"/>
    <w:rsid w:val="498A13E1"/>
    <w:rsid w:val="49C812C2"/>
    <w:rsid w:val="49D25BCF"/>
    <w:rsid w:val="4A192D1E"/>
    <w:rsid w:val="4A4E34A5"/>
    <w:rsid w:val="4A8805B2"/>
    <w:rsid w:val="4AC45E7E"/>
    <w:rsid w:val="4AC853E5"/>
    <w:rsid w:val="4ACC375A"/>
    <w:rsid w:val="4AD13AA1"/>
    <w:rsid w:val="4B4B3F4A"/>
    <w:rsid w:val="4B662A95"/>
    <w:rsid w:val="4BB723E6"/>
    <w:rsid w:val="4BB85107"/>
    <w:rsid w:val="4BC07BD6"/>
    <w:rsid w:val="4BD21ECC"/>
    <w:rsid w:val="4BEE7E9E"/>
    <w:rsid w:val="4BFE6267"/>
    <w:rsid w:val="4C0C54F9"/>
    <w:rsid w:val="4C38096D"/>
    <w:rsid w:val="4C3C3A30"/>
    <w:rsid w:val="4C5B1657"/>
    <w:rsid w:val="4C696C3E"/>
    <w:rsid w:val="4CAF1A5D"/>
    <w:rsid w:val="4CB36A70"/>
    <w:rsid w:val="4CEF5C02"/>
    <w:rsid w:val="4D075D82"/>
    <w:rsid w:val="4D4763EC"/>
    <w:rsid w:val="4D6D5452"/>
    <w:rsid w:val="4D8B1D7C"/>
    <w:rsid w:val="4DB22F22"/>
    <w:rsid w:val="4DC815AB"/>
    <w:rsid w:val="4E141469"/>
    <w:rsid w:val="4E2B426D"/>
    <w:rsid w:val="4E2C69CB"/>
    <w:rsid w:val="4E816CDB"/>
    <w:rsid w:val="4E82300F"/>
    <w:rsid w:val="4E8E7E46"/>
    <w:rsid w:val="4EA053B3"/>
    <w:rsid w:val="4EB93E83"/>
    <w:rsid w:val="4EDB081B"/>
    <w:rsid w:val="4EF851EF"/>
    <w:rsid w:val="4F34193B"/>
    <w:rsid w:val="4F9F3D09"/>
    <w:rsid w:val="4FD77D6B"/>
    <w:rsid w:val="50461F8A"/>
    <w:rsid w:val="50543887"/>
    <w:rsid w:val="50841D5E"/>
    <w:rsid w:val="50963E95"/>
    <w:rsid w:val="509B3214"/>
    <w:rsid w:val="50A20AB0"/>
    <w:rsid w:val="50A616C0"/>
    <w:rsid w:val="50BD5785"/>
    <w:rsid w:val="50E81709"/>
    <w:rsid w:val="50FF2409"/>
    <w:rsid w:val="51134B57"/>
    <w:rsid w:val="514F07F2"/>
    <w:rsid w:val="520D66B9"/>
    <w:rsid w:val="526A6404"/>
    <w:rsid w:val="529671F9"/>
    <w:rsid w:val="52990B7C"/>
    <w:rsid w:val="52D35CFA"/>
    <w:rsid w:val="52F31940"/>
    <w:rsid w:val="52FC4EC6"/>
    <w:rsid w:val="53077560"/>
    <w:rsid w:val="53361E4D"/>
    <w:rsid w:val="533E5EE3"/>
    <w:rsid w:val="53680E94"/>
    <w:rsid w:val="53840C46"/>
    <w:rsid w:val="53910470"/>
    <w:rsid w:val="53CE696D"/>
    <w:rsid w:val="53D44071"/>
    <w:rsid w:val="53D77AC9"/>
    <w:rsid w:val="53E86F3D"/>
    <w:rsid w:val="540547F8"/>
    <w:rsid w:val="540D1883"/>
    <w:rsid w:val="54323A4D"/>
    <w:rsid w:val="543D06A7"/>
    <w:rsid w:val="54741681"/>
    <w:rsid w:val="54997638"/>
    <w:rsid w:val="54A41A20"/>
    <w:rsid w:val="54B46177"/>
    <w:rsid w:val="54D413B8"/>
    <w:rsid w:val="54DE7749"/>
    <w:rsid w:val="551E7E20"/>
    <w:rsid w:val="55426BE6"/>
    <w:rsid w:val="555612F2"/>
    <w:rsid w:val="558D3F23"/>
    <w:rsid w:val="55B110FB"/>
    <w:rsid w:val="55F12834"/>
    <w:rsid w:val="55F36710"/>
    <w:rsid w:val="55F647B2"/>
    <w:rsid w:val="5604752C"/>
    <w:rsid w:val="562F079B"/>
    <w:rsid w:val="56AF29AC"/>
    <w:rsid w:val="56AF49BC"/>
    <w:rsid w:val="56C96AC5"/>
    <w:rsid w:val="56DD2B61"/>
    <w:rsid w:val="56EB484A"/>
    <w:rsid w:val="5712322C"/>
    <w:rsid w:val="57297E41"/>
    <w:rsid w:val="575B0DDF"/>
    <w:rsid w:val="577218B7"/>
    <w:rsid w:val="57785B3E"/>
    <w:rsid w:val="5796443F"/>
    <w:rsid w:val="57C5323B"/>
    <w:rsid w:val="57D103A7"/>
    <w:rsid w:val="58014B88"/>
    <w:rsid w:val="582110C0"/>
    <w:rsid w:val="586C68A0"/>
    <w:rsid w:val="58872A4D"/>
    <w:rsid w:val="58C363D1"/>
    <w:rsid w:val="58EB04F6"/>
    <w:rsid w:val="590C3AC9"/>
    <w:rsid w:val="59114FB0"/>
    <w:rsid w:val="591C3FC8"/>
    <w:rsid w:val="5A47527D"/>
    <w:rsid w:val="5A4F3A1C"/>
    <w:rsid w:val="5A507825"/>
    <w:rsid w:val="5A5B4884"/>
    <w:rsid w:val="5AB944CB"/>
    <w:rsid w:val="5AE12FDB"/>
    <w:rsid w:val="5AF568DD"/>
    <w:rsid w:val="5B740CC5"/>
    <w:rsid w:val="5B980952"/>
    <w:rsid w:val="5BB63EE6"/>
    <w:rsid w:val="5BB85DC1"/>
    <w:rsid w:val="5BD84321"/>
    <w:rsid w:val="5C3054FA"/>
    <w:rsid w:val="5C330953"/>
    <w:rsid w:val="5C3723E5"/>
    <w:rsid w:val="5C3D2493"/>
    <w:rsid w:val="5C5C7DF3"/>
    <w:rsid w:val="5C5F5E5C"/>
    <w:rsid w:val="5CBA2F3F"/>
    <w:rsid w:val="5CEF2CB4"/>
    <w:rsid w:val="5CF539D1"/>
    <w:rsid w:val="5D35148F"/>
    <w:rsid w:val="5D5326D2"/>
    <w:rsid w:val="5D8A5BAC"/>
    <w:rsid w:val="5DAB47CD"/>
    <w:rsid w:val="5E385C5A"/>
    <w:rsid w:val="5E7E0EBC"/>
    <w:rsid w:val="5E893336"/>
    <w:rsid w:val="5E8C4750"/>
    <w:rsid w:val="5EA404E7"/>
    <w:rsid w:val="5EB71BFC"/>
    <w:rsid w:val="5EC05215"/>
    <w:rsid w:val="5EC45F48"/>
    <w:rsid w:val="5EEE3F19"/>
    <w:rsid w:val="5EF27767"/>
    <w:rsid w:val="5F2D2C93"/>
    <w:rsid w:val="5F30008D"/>
    <w:rsid w:val="5F530220"/>
    <w:rsid w:val="5F6346BE"/>
    <w:rsid w:val="5F7206A6"/>
    <w:rsid w:val="5FBB21E5"/>
    <w:rsid w:val="5FF53CD3"/>
    <w:rsid w:val="60056797"/>
    <w:rsid w:val="602C1DBB"/>
    <w:rsid w:val="603C0217"/>
    <w:rsid w:val="60417B57"/>
    <w:rsid w:val="60443DB2"/>
    <w:rsid w:val="60B151FE"/>
    <w:rsid w:val="60CF3226"/>
    <w:rsid w:val="60F63B80"/>
    <w:rsid w:val="6106379C"/>
    <w:rsid w:val="610A7768"/>
    <w:rsid w:val="613D49B3"/>
    <w:rsid w:val="615C11F6"/>
    <w:rsid w:val="618E56A8"/>
    <w:rsid w:val="61B73927"/>
    <w:rsid w:val="61D84114"/>
    <w:rsid w:val="61E0302B"/>
    <w:rsid w:val="620149E5"/>
    <w:rsid w:val="625A54F0"/>
    <w:rsid w:val="625D7DEB"/>
    <w:rsid w:val="62795223"/>
    <w:rsid w:val="627A6B28"/>
    <w:rsid w:val="62905798"/>
    <w:rsid w:val="62CB6E46"/>
    <w:rsid w:val="62CE446F"/>
    <w:rsid w:val="62FA686D"/>
    <w:rsid w:val="63033329"/>
    <w:rsid w:val="63147CC6"/>
    <w:rsid w:val="63185A08"/>
    <w:rsid w:val="63546C0D"/>
    <w:rsid w:val="63673A9A"/>
    <w:rsid w:val="636B754E"/>
    <w:rsid w:val="63CF0B8A"/>
    <w:rsid w:val="63DE5C2C"/>
    <w:rsid w:val="63E17D6C"/>
    <w:rsid w:val="64100002"/>
    <w:rsid w:val="646B637E"/>
    <w:rsid w:val="647C0741"/>
    <w:rsid w:val="64990B2E"/>
    <w:rsid w:val="64A358AC"/>
    <w:rsid w:val="64E57B6C"/>
    <w:rsid w:val="64E7365C"/>
    <w:rsid w:val="65117616"/>
    <w:rsid w:val="65287060"/>
    <w:rsid w:val="652E741A"/>
    <w:rsid w:val="654E1870"/>
    <w:rsid w:val="65571481"/>
    <w:rsid w:val="65881ADE"/>
    <w:rsid w:val="658A08C6"/>
    <w:rsid w:val="65B55EEE"/>
    <w:rsid w:val="65D96012"/>
    <w:rsid w:val="65DD59EA"/>
    <w:rsid w:val="65FA3BD9"/>
    <w:rsid w:val="660C69B6"/>
    <w:rsid w:val="660D7970"/>
    <w:rsid w:val="665A1E94"/>
    <w:rsid w:val="66801A65"/>
    <w:rsid w:val="66C863D6"/>
    <w:rsid w:val="66E9664F"/>
    <w:rsid w:val="66EC6F90"/>
    <w:rsid w:val="66F145A6"/>
    <w:rsid w:val="670C1767"/>
    <w:rsid w:val="6736645D"/>
    <w:rsid w:val="67555668"/>
    <w:rsid w:val="67686114"/>
    <w:rsid w:val="677A266C"/>
    <w:rsid w:val="67B6134C"/>
    <w:rsid w:val="6810055D"/>
    <w:rsid w:val="683055A2"/>
    <w:rsid w:val="68307AF1"/>
    <w:rsid w:val="683C1552"/>
    <w:rsid w:val="685C7B67"/>
    <w:rsid w:val="686D6474"/>
    <w:rsid w:val="68827999"/>
    <w:rsid w:val="68A72022"/>
    <w:rsid w:val="68A8794D"/>
    <w:rsid w:val="690C1F68"/>
    <w:rsid w:val="6915676D"/>
    <w:rsid w:val="694D3DC6"/>
    <w:rsid w:val="698A299B"/>
    <w:rsid w:val="69D07728"/>
    <w:rsid w:val="69E37A5C"/>
    <w:rsid w:val="69E46644"/>
    <w:rsid w:val="6A005274"/>
    <w:rsid w:val="6A160C5E"/>
    <w:rsid w:val="6A2D7FEB"/>
    <w:rsid w:val="6A7A04BA"/>
    <w:rsid w:val="6A895FE4"/>
    <w:rsid w:val="6AD74E3D"/>
    <w:rsid w:val="6AFF5C1B"/>
    <w:rsid w:val="6B735ED1"/>
    <w:rsid w:val="6B7845E0"/>
    <w:rsid w:val="6B8005EE"/>
    <w:rsid w:val="6BAF1502"/>
    <w:rsid w:val="6BBD42F2"/>
    <w:rsid w:val="6BCB3584"/>
    <w:rsid w:val="6BE40B7D"/>
    <w:rsid w:val="6C032004"/>
    <w:rsid w:val="6C09383E"/>
    <w:rsid w:val="6C1618A2"/>
    <w:rsid w:val="6C694EB3"/>
    <w:rsid w:val="6C7320C4"/>
    <w:rsid w:val="6CA65E33"/>
    <w:rsid w:val="6CC84C6F"/>
    <w:rsid w:val="6CF4154E"/>
    <w:rsid w:val="6CFA11F8"/>
    <w:rsid w:val="6D4B1F5D"/>
    <w:rsid w:val="6D5A13E1"/>
    <w:rsid w:val="6D5F4A5C"/>
    <w:rsid w:val="6D7474FC"/>
    <w:rsid w:val="6DE5022A"/>
    <w:rsid w:val="6E1B7DC7"/>
    <w:rsid w:val="6E24205E"/>
    <w:rsid w:val="6E4B01B8"/>
    <w:rsid w:val="6E984D90"/>
    <w:rsid w:val="6F065F88"/>
    <w:rsid w:val="6F2C1CEC"/>
    <w:rsid w:val="6F331ECA"/>
    <w:rsid w:val="6F472C8A"/>
    <w:rsid w:val="6F95644E"/>
    <w:rsid w:val="7006247C"/>
    <w:rsid w:val="70095BC7"/>
    <w:rsid w:val="702D508D"/>
    <w:rsid w:val="703D260A"/>
    <w:rsid w:val="704D5DCD"/>
    <w:rsid w:val="704F3048"/>
    <w:rsid w:val="706C6FD3"/>
    <w:rsid w:val="709846D7"/>
    <w:rsid w:val="70A85562"/>
    <w:rsid w:val="70B2124A"/>
    <w:rsid w:val="70CB40BA"/>
    <w:rsid w:val="70DA36AC"/>
    <w:rsid w:val="70F27596"/>
    <w:rsid w:val="711252FD"/>
    <w:rsid w:val="71135DDB"/>
    <w:rsid w:val="71311B2E"/>
    <w:rsid w:val="71323281"/>
    <w:rsid w:val="714640C0"/>
    <w:rsid w:val="717D3F41"/>
    <w:rsid w:val="717F26D6"/>
    <w:rsid w:val="71815A01"/>
    <w:rsid w:val="718742E6"/>
    <w:rsid w:val="7192262E"/>
    <w:rsid w:val="71A620E5"/>
    <w:rsid w:val="71CE4B72"/>
    <w:rsid w:val="72051E4C"/>
    <w:rsid w:val="721A58AE"/>
    <w:rsid w:val="724E3FE2"/>
    <w:rsid w:val="726C5DC7"/>
    <w:rsid w:val="727650DC"/>
    <w:rsid w:val="728B2AB3"/>
    <w:rsid w:val="72A01FA2"/>
    <w:rsid w:val="72FF004B"/>
    <w:rsid w:val="732C1502"/>
    <w:rsid w:val="733D0D8F"/>
    <w:rsid w:val="73402392"/>
    <w:rsid w:val="73C958ED"/>
    <w:rsid w:val="73F0530C"/>
    <w:rsid w:val="7470397A"/>
    <w:rsid w:val="74721071"/>
    <w:rsid w:val="74832AC1"/>
    <w:rsid w:val="74BC1580"/>
    <w:rsid w:val="74BD640F"/>
    <w:rsid w:val="74D3023E"/>
    <w:rsid w:val="74EE7B13"/>
    <w:rsid w:val="75011284"/>
    <w:rsid w:val="7529143D"/>
    <w:rsid w:val="75355FA6"/>
    <w:rsid w:val="75410DEE"/>
    <w:rsid w:val="759E7FEF"/>
    <w:rsid w:val="75B86CFD"/>
    <w:rsid w:val="75FA28C7"/>
    <w:rsid w:val="764E2159"/>
    <w:rsid w:val="766515AD"/>
    <w:rsid w:val="766A6B1A"/>
    <w:rsid w:val="768C728A"/>
    <w:rsid w:val="770A69E8"/>
    <w:rsid w:val="77170059"/>
    <w:rsid w:val="77484C16"/>
    <w:rsid w:val="776A1ECE"/>
    <w:rsid w:val="77B44D31"/>
    <w:rsid w:val="77CB0E43"/>
    <w:rsid w:val="77E42641"/>
    <w:rsid w:val="781E2A8B"/>
    <w:rsid w:val="78223114"/>
    <w:rsid w:val="787F5508"/>
    <w:rsid w:val="78CC1028"/>
    <w:rsid w:val="790D2D0E"/>
    <w:rsid w:val="79387AF1"/>
    <w:rsid w:val="79715E09"/>
    <w:rsid w:val="799071CF"/>
    <w:rsid w:val="79A1308B"/>
    <w:rsid w:val="79A45BC4"/>
    <w:rsid w:val="79BB24C3"/>
    <w:rsid w:val="79DE2E04"/>
    <w:rsid w:val="79F171EE"/>
    <w:rsid w:val="79F25DCB"/>
    <w:rsid w:val="7A1156AE"/>
    <w:rsid w:val="7A5E4CD6"/>
    <w:rsid w:val="7A6638A3"/>
    <w:rsid w:val="7A694405"/>
    <w:rsid w:val="7A820EB1"/>
    <w:rsid w:val="7AC8233F"/>
    <w:rsid w:val="7AE446F6"/>
    <w:rsid w:val="7AF852EC"/>
    <w:rsid w:val="7B11085C"/>
    <w:rsid w:val="7B334D35"/>
    <w:rsid w:val="7B7255A0"/>
    <w:rsid w:val="7B792CBA"/>
    <w:rsid w:val="7BB23131"/>
    <w:rsid w:val="7BBE10DA"/>
    <w:rsid w:val="7BE96473"/>
    <w:rsid w:val="7BF543FF"/>
    <w:rsid w:val="7BF848F5"/>
    <w:rsid w:val="7C4C188F"/>
    <w:rsid w:val="7C5D1AAD"/>
    <w:rsid w:val="7C685146"/>
    <w:rsid w:val="7CC3033B"/>
    <w:rsid w:val="7CD04A18"/>
    <w:rsid w:val="7CD35D76"/>
    <w:rsid w:val="7D0F483D"/>
    <w:rsid w:val="7D1557CD"/>
    <w:rsid w:val="7D1F6D74"/>
    <w:rsid w:val="7D220F9A"/>
    <w:rsid w:val="7D3D633F"/>
    <w:rsid w:val="7D515947"/>
    <w:rsid w:val="7D5F353A"/>
    <w:rsid w:val="7DB94622"/>
    <w:rsid w:val="7DE21CB5"/>
    <w:rsid w:val="7DF60ABE"/>
    <w:rsid w:val="7E654C6A"/>
    <w:rsid w:val="7E971A7F"/>
    <w:rsid w:val="7EAD7761"/>
    <w:rsid w:val="7EC62364"/>
    <w:rsid w:val="7EEA477D"/>
    <w:rsid w:val="7F273709"/>
    <w:rsid w:val="7F2771F3"/>
    <w:rsid w:val="7F3F0B24"/>
    <w:rsid w:val="7F5273E6"/>
    <w:rsid w:val="7F8B5FA7"/>
    <w:rsid w:val="7FDC1E3F"/>
    <w:rsid w:val="7FEE5E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0"/>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41"/>
    <w:qFormat/>
    <w:uiPriority w:val="99"/>
    <w:pPr>
      <w:keepNext/>
      <w:keepLines/>
      <w:spacing w:before="260" w:after="260" w:line="412" w:lineRule="auto"/>
      <w:outlineLvl w:val="1"/>
    </w:pPr>
    <w:rPr>
      <w:rFonts w:ascii="Arial" w:hAnsi="Arial" w:eastAsia="黑体" w:cs="Arial"/>
      <w:b/>
      <w:bCs/>
      <w:sz w:val="32"/>
      <w:szCs w:val="32"/>
    </w:rPr>
  </w:style>
  <w:style w:type="paragraph" w:styleId="5">
    <w:name w:val="heading 3"/>
    <w:basedOn w:val="1"/>
    <w:next w:val="1"/>
    <w:link w:val="42"/>
    <w:qFormat/>
    <w:uiPriority w:val="99"/>
    <w:pPr>
      <w:keepNext/>
      <w:keepLines/>
      <w:spacing w:before="260" w:after="260" w:line="416" w:lineRule="auto"/>
      <w:outlineLvl w:val="2"/>
    </w:pPr>
    <w:rPr>
      <w:b/>
      <w:bCs/>
      <w:sz w:val="32"/>
      <w:szCs w:val="32"/>
    </w:rPr>
  </w:style>
  <w:style w:type="paragraph" w:styleId="6">
    <w:name w:val="heading 4"/>
    <w:basedOn w:val="1"/>
    <w:next w:val="1"/>
    <w:link w:val="43"/>
    <w:qFormat/>
    <w:uiPriority w:val="99"/>
    <w:pPr>
      <w:keepNext/>
      <w:keepLines/>
      <w:spacing w:before="280" w:after="290" w:line="376" w:lineRule="auto"/>
      <w:outlineLvl w:val="3"/>
    </w:pPr>
    <w:rPr>
      <w:rFonts w:ascii="Arial" w:hAnsi="Arial" w:eastAsia="黑体" w:cs="Arial"/>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51"/>
    <w:qFormat/>
    <w:uiPriority w:val="99"/>
    <w:pPr>
      <w:tabs>
        <w:tab w:val="center" w:pos="4153"/>
        <w:tab w:val="right" w:pos="8306"/>
      </w:tabs>
      <w:snapToGrid w:val="0"/>
      <w:jc w:val="left"/>
    </w:pPr>
    <w:rPr>
      <w:sz w:val="18"/>
      <w:szCs w:val="18"/>
    </w:rPr>
  </w:style>
  <w:style w:type="paragraph" w:styleId="7">
    <w:name w:val="Normal Indent"/>
    <w:basedOn w:val="1"/>
    <w:link w:val="60"/>
    <w:qFormat/>
    <w:uiPriority w:val="99"/>
    <w:pPr>
      <w:ind w:firstLine="420"/>
    </w:pPr>
  </w:style>
  <w:style w:type="paragraph" w:styleId="8">
    <w:name w:val="Document Map"/>
    <w:basedOn w:val="1"/>
    <w:link w:val="45"/>
    <w:semiHidden/>
    <w:qFormat/>
    <w:uiPriority w:val="99"/>
    <w:pPr>
      <w:shd w:val="clear" w:color="auto" w:fill="000080"/>
    </w:pPr>
  </w:style>
  <w:style w:type="paragraph" w:styleId="9">
    <w:name w:val="Body Text"/>
    <w:basedOn w:val="1"/>
    <w:link w:val="44"/>
    <w:qFormat/>
    <w:uiPriority w:val="99"/>
    <w:rPr>
      <w:sz w:val="30"/>
      <w:szCs w:val="30"/>
    </w:rPr>
  </w:style>
  <w:style w:type="paragraph" w:styleId="10">
    <w:name w:val="Body Text Indent"/>
    <w:basedOn w:val="1"/>
    <w:link w:val="46"/>
    <w:qFormat/>
    <w:uiPriority w:val="99"/>
    <w:pPr>
      <w:ind w:firstLine="560"/>
    </w:pPr>
    <w:rPr>
      <w:rFonts w:ascii="宋体" w:hAnsi="宋体" w:cs="宋体"/>
      <w:sz w:val="28"/>
      <w:szCs w:val="28"/>
    </w:rPr>
  </w:style>
  <w:style w:type="paragraph" w:styleId="11">
    <w:name w:val="Block Text"/>
    <w:basedOn w:val="1"/>
    <w:qFormat/>
    <w:uiPriority w:val="99"/>
    <w:pPr>
      <w:ind w:left="113" w:right="113"/>
      <w:jc w:val="center"/>
    </w:pPr>
    <w:rPr>
      <w:rFonts w:eastAsia="黑体"/>
      <w:sz w:val="30"/>
      <w:szCs w:val="30"/>
    </w:rPr>
  </w:style>
  <w:style w:type="paragraph" w:styleId="12">
    <w:name w:val="toc 3"/>
    <w:basedOn w:val="1"/>
    <w:next w:val="1"/>
    <w:semiHidden/>
    <w:qFormat/>
    <w:uiPriority w:val="99"/>
    <w:pPr>
      <w:tabs>
        <w:tab w:val="right" w:leader="dot" w:pos="9402"/>
      </w:tabs>
      <w:spacing w:line="480" w:lineRule="auto"/>
      <w:ind w:left="840" w:leftChars="400"/>
    </w:pPr>
  </w:style>
  <w:style w:type="paragraph" w:styleId="13">
    <w:name w:val="Plain Text"/>
    <w:basedOn w:val="1"/>
    <w:link w:val="47"/>
    <w:qFormat/>
    <w:uiPriority w:val="99"/>
    <w:rPr>
      <w:rFonts w:ascii="宋体" w:hAnsi="Courier New" w:cs="宋体"/>
    </w:rPr>
  </w:style>
  <w:style w:type="paragraph" w:styleId="14">
    <w:name w:val="Date"/>
    <w:basedOn w:val="1"/>
    <w:next w:val="1"/>
    <w:link w:val="48"/>
    <w:qFormat/>
    <w:uiPriority w:val="99"/>
    <w:pPr>
      <w:ind w:left="100" w:leftChars="2500"/>
    </w:pPr>
    <w:rPr>
      <w:rFonts w:ascii="仿宋_GB2312" w:eastAsia="仿宋_GB2312" w:cs="仿宋_GB2312"/>
      <w:sz w:val="24"/>
      <w:szCs w:val="24"/>
    </w:rPr>
  </w:style>
  <w:style w:type="paragraph" w:styleId="15">
    <w:name w:val="Body Text Indent 2"/>
    <w:basedOn w:val="1"/>
    <w:link w:val="49"/>
    <w:qFormat/>
    <w:uiPriority w:val="99"/>
    <w:pPr>
      <w:spacing w:after="120" w:line="480" w:lineRule="auto"/>
      <w:ind w:left="420" w:leftChars="200"/>
    </w:pPr>
  </w:style>
  <w:style w:type="paragraph" w:styleId="16">
    <w:name w:val="Balloon Text"/>
    <w:basedOn w:val="1"/>
    <w:link w:val="50"/>
    <w:semiHidden/>
    <w:qFormat/>
    <w:uiPriority w:val="99"/>
    <w:rPr>
      <w:sz w:val="18"/>
      <w:szCs w:val="18"/>
    </w:rPr>
  </w:style>
  <w:style w:type="paragraph" w:styleId="17">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99"/>
  </w:style>
  <w:style w:type="paragraph" w:styleId="19">
    <w:name w:val="Body Text Indent 3"/>
    <w:basedOn w:val="1"/>
    <w:link w:val="53"/>
    <w:qFormat/>
    <w:uiPriority w:val="99"/>
    <w:pPr>
      <w:spacing w:after="120"/>
      <w:ind w:left="420" w:leftChars="200"/>
    </w:pPr>
    <w:rPr>
      <w:sz w:val="16"/>
      <w:szCs w:val="16"/>
    </w:rPr>
  </w:style>
  <w:style w:type="paragraph" w:styleId="20">
    <w:name w:val="toc 2"/>
    <w:basedOn w:val="1"/>
    <w:next w:val="1"/>
    <w:semiHidden/>
    <w:qFormat/>
    <w:uiPriority w:val="99"/>
    <w:pPr>
      <w:ind w:left="420" w:leftChars="200"/>
    </w:pPr>
  </w:style>
  <w:style w:type="paragraph" w:styleId="21">
    <w:name w:val="Normal (Web)"/>
    <w:basedOn w:val="1"/>
    <w:qFormat/>
    <w:uiPriority w:val="99"/>
    <w:pPr>
      <w:jc w:val="left"/>
    </w:pPr>
    <w:rPr>
      <w:kern w:val="0"/>
      <w:sz w:val="24"/>
      <w:szCs w:val="24"/>
    </w:rPr>
  </w:style>
  <w:style w:type="paragraph" w:styleId="22">
    <w:name w:val="Body Text First Indent"/>
    <w:basedOn w:val="9"/>
    <w:link w:val="54"/>
    <w:qFormat/>
    <w:uiPriority w:val="99"/>
    <w:pPr>
      <w:ind w:firstLine="420" w:firstLineChars="100"/>
    </w:pPr>
  </w:style>
  <w:style w:type="paragraph" w:styleId="23">
    <w:name w:val="Body Text First Indent 2"/>
    <w:basedOn w:val="10"/>
    <w:qFormat/>
    <w:uiPriority w:val="0"/>
    <w:pPr>
      <w:ind w:firstLine="210"/>
    </w:p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99"/>
    <w:rPr>
      <w:rFonts w:ascii="Tahoma" w:hAnsi="Tahoma" w:cs="Tahoma"/>
      <w:sz w:val="20"/>
      <w:szCs w:val="20"/>
    </w:rPr>
  </w:style>
  <w:style w:type="character" w:styleId="28">
    <w:name w:val="page number"/>
    <w:basedOn w:val="26"/>
    <w:qFormat/>
    <w:uiPriority w:val="99"/>
    <w:rPr>
      <w:rFonts w:ascii="Tahoma" w:hAnsi="Tahoma" w:cs="Tahoma"/>
      <w:sz w:val="20"/>
      <w:szCs w:val="20"/>
    </w:rPr>
  </w:style>
  <w:style w:type="character" w:styleId="29">
    <w:name w:val="FollowedHyperlink"/>
    <w:basedOn w:val="26"/>
    <w:qFormat/>
    <w:uiPriority w:val="99"/>
    <w:rPr>
      <w:rFonts w:ascii="Tahoma" w:hAnsi="Tahoma" w:cs="Tahoma"/>
      <w:color w:val="000000"/>
      <w:sz w:val="20"/>
      <w:szCs w:val="20"/>
      <w:u w:val="none"/>
    </w:rPr>
  </w:style>
  <w:style w:type="character" w:styleId="30">
    <w:name w:val="Emphasis"/>
    <w:basedOn w:val="26"/>
    <w:qFormat/>
    <w:uiPriority w:val="99"/>
    <w:rPr>
      <w:rFonts w:ascii="Tahoma" w:hAnsi="Tahoma" w:cs="Tahoma"/>
      <w:sz w:val="20"/>
      <w:szCs w:val="20"/>
    </w:rPr>
  </w:style>
  <w:style w:type="character" w:styleId="31">
    <w:name w:val="HTML Definition"/>
    <w:basedOn w:val="26"/>
    <w:qFormat/>
    <w:uiPriority w:val="99"/>
    <w:rPr>
      <w:rFonts w:ascii="Tahoma" w:hAnsi="Tahoma" w:cs="Tahoma"/>
      <w:sz w:val="20"/>
      <w:szCs w:val="20"/>
    </w:rPr>
  </w:style>
  <w:style w:type="character" w:styleId="32">
    <w:name w:val="HTML Typewriter"/>
    <w:basedOn w:val="26"/>
    <w:qFormat/>
    <w:uiPriority w:val="99"/>
    <w:rPr>
      <w:rFonts w:ascii="monospace" w:hAnsi="monospace" w:eastAsia="Times New Roman" w:cs="monospace"/>
      <w:sz w:val="20"/>
      <w:szCs w:val="20"/>
    </w:rPr>
  </w:style>
  <w:style w:type="character" w:styleId="33">
    <w:name w:val="HTML Acronym"/>
    <w:basedOn w:val="26"/>
    <w:qFormat/>
    <w:uiPriority w:val="99"/>
    <w:rPr>
      <w:rFonts w:ascii="Tahoma" w:hAnsi="Tahoma" w:cs="Tahoma"/>
      <w:sz w:val="20"/>
      <w:szCs w:val="20"/>
    </w:rPr>
  </w:style>
  <w:style w:type="character" w:styleId="34">
    <w:name w:val="HTML Variable"/>
    <w:basedOn w:val="26"/>
    <w:qFormat/>
    <w:uiPriority w:val="99"/>
    <w:rPr>
      <w:rFonts w:ascii="Tahoma" w:hAnsi="Tahoma" w:cs="Tahoma"/>
      <w:sz w:val="20"/>
      <w:szCs w:val="20"/>
    </w:rPr>
  </w:style>
  <w:style w:type="character" w:styleId="35">
    <w:name w:val="Hyperlink"/>
    <w:basedOn w:val="26"/>
    <w:qFormat/>
    <w:uiPriority w:val="99"/>
    <w:rPr>
      <w:rFonts w:ascii="Tahoma" w:hAnsi="Tahoma" w:cs="Tahoma"/>
      <w:color w:val="0860A8"/>
      <w:sz w:val="20"/>
      <w:szCs w:val="20"/>
      <w:u w:val="none"/>
    </w:rPr>
  </w:style>
  <w:style w:type="character" w:styleId="36">
    <w:name w:val="HTML Code"/>
    <w:basedOn w:val="26"/>
    <w:qFormat/>
    <w:uiPriority w:val="99"/>
    <w:rPr>
      <w:rFonts w:ascii="monospace" w:hAnsi="monospace" w:eastAsia="Times New Roman" w:cs="monospace"/>
      <w:sz w:val="20"/>
      <w:szCs w:val="20"/>
    </w:rPr>
  </w:style>
  <w:style w:type="character" w:styleId="37">
    <w:name w:val="HTML Cite"/>
    <w:basedOn w:val="26"/>
    <w:qFormat/>
    <w:uiPriority w:val="99"/>
    <w:rPr>
      <w:rFonts w:ascii="Tahoma" w:hAnsi="Tahoma" w:cs="Tahoma"/>
      <w:sz w:val="20"/>
      <w:szCs w:val="20"/>
    </w:rPr>
  </w:style>
  <w:style w:type="character" w:styleId="38">
    <w:name w:val="HTML Keyboard"/>
    <w:basedOn w:val="26"/>
    <w:qFormat/>
    <w:uiPriority w:val="99"/>
    <w:rPr>
      <w:rFonts w:ascii="monospace" w:hAnsi="monospace" w:eastAsia="Times New Roman" w:cs="monospace"/>
      <w:sz w:val="20"/>
      <w:szCs w:val="20"/>
    </w:rPr>
  </w:style>
  <w:style w:type="character" w:styleId="39">
    <w:name w:val="HTML Sample"/>
    <w:basedOn w:val="26"/>
    <w:qFormat/>
    <w:uiPriority w:val="99"/>
    <w:rPr>
      <w:rFonts w:ascii="monospace" w:hAnsi="monospace" w:eastAsia="Times New Roman" w:cs="monospace"/>
      <w:sz w:val="20"/>
      <w:szCs w:val="20"/>
    </w:rPr>
  </w:style>
  <w:style w:type="character" w:customStyle="1" w:styleId="40">
    <w:name w:val="标题 1 字符"/>
    <w:basedOn w:val="26"/>
    <w:link w:val="3"/>
    <w:qFormat/>
    <w:uiPriority w:val="9"/>
    <w:rPr>
      <w:b/>
      <w:bCs/>
      <w:kern w:val="44"/>
      <w:sz w:val="44"/>
      <w:szCs w:val="44"/>
    </w:rPr>
  </w:style>
  <w:style w:type="character" w:customStyle="1" w:styleId="41">
    <w:name w:val="标题 2 字符"/>
    <w:basedOn w:val="26"/>
    <w:link w:val="4"/>
    <w:qFormat/>
    <w:locked/>
    <w:uiPriority w:val="99"/>
    <w:rPr>
      <w:rFonts w:ascii="Arial" w:hAnsi="Arial" w:eastAsia="黑体" w:cs="Arial"/>
      <w:b/>
      <w:bCs/>
      <w:kern w:val="2"/>
      <w:sz w:val="32"/>
      <w:szCs w:val="32"/>
      <w:lang w:val="en-US" w:eastAsia="zh-CN"/>
    </w:rPr>
  </w:style>
  <w:style w:type="character" w:customStyle="1" w:styleId="42">
    <w:name w:val="标题 3 字符"/>
    <w:basedOn w:val="26"/>
    <w:link w:val="5"/>
    <w:semiHidden/>
    <w:qFormat/>
    <w:uiPriority w:val="9"/>
    <w:rPr>
      <w:b/>
      <w:bCs/>
      <w:sz w:val="32"/>
      <w:szCs w:val="32"/>
    </w:rPr>
  </w:style>
  <w:style w:type="character" w:customStyle="1" w:styleId="43">
    <w:name w:val="标题 4 字符"/>
    <w:basedOn w:val="26"/>
    <w:link w:val="6"/>
    <w:semiHidden/>
    <w:qFormat/>
    <w:uiPriority w:val="9"/>
    <w:rPr>
      <w:rFonts w:asciiTheme="majorHAnsi" w:hAnsiTheme="majorHAnsi" w:eastAsiaTheme="majorEastAsia" w:cstheme="majorBidi"/>
      <w:b/>
      <w:bCs/>
      <w:sz w:val="28"/>
      <w:szCs w:val="28"/>
    </w:rPr>
  </w:style>
  <w:style w:type="character" w:customStyle="1" w:styleId="44">
    <w:name w:val="正文文本 字符"/>
    <w:basedOn w:val="26"/>
    <w:link w:val="9"/>
    <w:semiHidden/>
    <w:qFormat/>
    <w:uiPriority w:val="99"/>
    <w:rPr>
      <w:szCs w:val="21"/>
    </w:rPr>
  </w:style>
  <w:style w:type="character" w:customStyle="1" w:styleId="45">
    <w:name w:val="文档结构图 字符"/>
    <w:basedOn w:val="26"/>
    <w:link w:val="8"/>
    <w:semiHidden/>
    <w:qFormat/>
    <w:uiPriority w:val="99"/>
    <w:rPr>
      <w:sz w:val="0"/>
      <w:szCs w:val="0"/>
    </w:rPr>
  </w:style>
  <w:style w:type="character" w:customStyle="1" w:styleId="46">
    <w:name w:val="正文文本缩进 字符"/>
    <w:basedOn w:val="26"/>
    <w:link w:val="10"/>
    <w:semiHidden/>
    <w:qFormat/>
    <w:uiPriority w:val="99"/>
    <w:rPr>
      <w:szCs w:val="21"/>
    </w:rPr>
  </w:style>
  <w:style w:type="character" w:customStyle="1" w:styleId="47">
    <w:name w:val="纯文本 字符"/>
    <w:basedOn w:val="26"/>
    <w:link w:val="13"/>
    <w:qFormat/>
    <w:locked/>
    <w:uiPriority w:val="99"/>
    <w:rPr>
      <w:rFonts w:ascii="宋体" w:hAnsi="Courier New" w:eastAsia="宋体" w:cs="宋体"/>
      <w:kern w:val="2"/>
      <w:sz w:val="21"/>
      <w:szCs w:val="21"/>
      <w:lang w:val="en-US" w:eastAsia="zh-CN"/>
    </w:rPr>
  </w:style>
  <w:style w:type="character" w:customStyle="1" w:styleId="48">
    <w:name w:val="日期 字符"/>
    <w:basedOn w:val="26"/>
    <w:link w:val="14"/>
    <w:semiHidden/>
    <w:qFormat/>
    <w:uiPriority w:val="99"/>
    <w:rPr>
      <w:szCs w:val="21"/>
    </w:rPr>
  </w:style>
  <w:style w:type="character" w:customStyle="1" w:styleId="49">
    <w:name w:val="正文文本缩进 2 字符"/>
    <w:basedOn w:val="26"/>
    <w:link w:val="15"/>
    <w:semiHidden/>
    <w:qFormat/>
    <w:uiPriority w:val="99"/>
    <w:rPr>
      <w:szCs w:val="21"/>
    </w:rPr>
  </w:style>
  <w:style w:type="character" w:customStyle="1" w:styleId="50">
    <w:name w:val="批注框文本 字符"/>
    <w:basedOn w:val="26"/>
    <w:link w:val="16"/>
    <w:semiHidden/>
    <w:qFormat/>
    <w:uiPriority w:val="99"/>
    <w:rPr>
      <w:sz w:val="0"/>
      <w:szCs w:val="0"/>
    </w:rPr>
  </w:style>
  <w:style w:type="character" w:customStyle="1" w:styleId="51">
    <w:name w:val="页脚 字符"/>
    <w:basedOn w:val="26"/>
    <w:link w:val="2"/>
    <w:qFormat/>
    <w:locked/>
    <w:uiPriority w:val="99"/>
    <w:rPr>
      <w:kern w:val="2"/>
      <w:sz w:val="24"/>
      <w:szCs w:val="24"/>
    </w:rPr>
  </w:style>
  <w:style w:type="character" w:customStyle="1" w:styleId="52">
    <w:name w:val="页眉 字符"/>
    <w:basedOn w:val="26"/>
    <w:link w:val="17"/>
    <w:semiHidden/>
    <w:qFormat/>
    <w:uiPriority w:val="99"/>
    <w:rPr>
      <w:sz w:val="18"/>
      <w:szCs w:val="18"/>
    </w:rPr>
  </w:style>
  <w:style w:type="character" w:customStyle="1" w:styleId="53">
    <w:name w:val="正文文本缩进 3 字符"/>
    <w:basedOn w:val="26"/>
    <w:link w:val="19"/>
    <w:semiHidden/>
    <w:qFormat/>
    <w:uiPriority w:val="99"/>
    <w:rPr>
      <w:sz w:val="16"/>
      <w:szCs w:val="16"/>
    </w:rPr>
  </w:style>
  <w:style w:type="character" w:customStyle="1" w:styleId="54">
    <w:name w:val="正文文本首行缩进 字符"/>
    <w:basedOn w:val="44"/>
    <w:link w:val="22"/>
    <w:semiHidden/>
    <w:qFormat/>
    <w:uiPriority w:val="99"/>
    <w:rPr>
      <w:szCs w:val="21"/>
    </w:rPr>
  </w:style>
  <w:style w:type="character" w:customStyle="1" w:styleId="55">
    <w:name w:val="0921 Char Char"/>
    <w:basedOn w:val="26"/>
    <w:qFormat/>
    <w:uiPriority w:val="99"/>
    <w:rPr>
      <w:rFonts w:ascii="宋体" w:hAnsi="Courier New" w:eastAsia="宋体" w:cs="宋体"/>
      <w:kern w:val="2"/>
      <w:sz w:val="21"/>
      <w:szCs w:val="21"/>
      <w:lang w:val="en-US" w:eastAsia="zh-CN"/>
    </w:rPr>
  </w:style>
  <w:style w:type="character" w:customStyle="1" w:styleId="56">
    <w:name w:val="more6"/>
    <w:basedOn w:val="26"/>
    <w:qFormat/>
    <w:uiPriority w:val="99"/>
    <w:rPr>
      <w:rFonts w:ascii="Tahoma" w:hAnsi="Tahoma" w:cs="Tahoma"/>
      <w:sz w:val="20"/>
      <w:szCs w:val="20"/>
    </w:rPr>
  </w:style>
  <w:style w:type="character" w:customStyle="1" w:styleId="57">
    <w:name w:val="bg"/>
    <w:basedOn w:val="26"/>
    <w:qFormat/>
    <w:uiPriority w:val="99"/>
    <w:rPr>
      <w:rFonts w:ascii="Tahoma" w:hAnsi="Tahoma" w:cs="Tahoma"/>
      <w:sz w:val="20"/>
      <w:szCs w:val="20"/>
    </w:rPr>
  </w:style>
  <w:style w:type="character" w:customStyle="1" w:styleId="58">
    <w:name w:val="more"/>
    <w:basedOn w:val="26"/>
    <w:qFormat/>
    <w:uiPriority w:val="99"/>
    <w:rPr>
      <w:rFonts w:ascii="Tahoma" w:hAnsi="Tahoma" w:cs="Tahoma"/>
      <w:sz w:val="20"/>
      <w:szCs w:val="20"/>
    </w:rPr>
  </w:style>
  <w:style w:type="character" w:customStyle="1" w:styleId="59">
    <w:name w:val="font51"/>
    <w:qFormat/>
    <w:uiPriority w:val="99"/>
    <w:rPr>
      <w:rFonts w:ascii="宋体" w:hAnsi="宋体" w:eastAsia="宋体" w:cs="宋体"/>
      <w:color w:val="000000"/>
      <w:sz w:val="23"/>
      <w:szCs w:val="23"/>
      <w:u w:val="none"/>
    </w:rPr>
  </w:style>
  <w:style w:type="character" w:customStyle="1" w:styleId="60">
    <w:name w:val="正文缩进 字符"/>
    <w:link w:val="7"/>
    <w:qFormat/>
    <w:locked/>
    <w:uiPriority w:val="99"/>
    <w:rPr>
      <w:kern w:val="2"/>
      <w:sz w:val="21"/>
      <w:szCs w:val="21"/>
    </w:rPr>
  </w:style>
  <w:style w:type="paragraph" w:customStyle="1" w:styleId="61">
    <w:name w:val="Char1 Char Char Char Char Char Char"/>
    <w:basedOn w:val="1"/>
    <w:qFormat/>
    <w:uiPriority w:val="99"/>
    <w:rPr>
      <w:rFonts w:ascii="Tahoma" w:hAnsi="Tahoma" w:cs="Tahoma"/>
      <w:sz w:val="24"/>
      <w:szCs w:val="24"/>
    </w:rPr>
  </w:style>
  <w:style w:type="paragraph" w:customStyle="1" w:styleId="62">
    <w:name w:val="Char"/>
    <w:basedOn w:val="1"/>
    <w:qFormat/>
    <w:uiPriority w:val="99"/>
    <w:rPr>
      <w:rFonts w:ascii="Tahoma" w:hAnsi="Tahoma" w:cs="Tahoma"/>
      <w:sz w:val="24"/>
      <w:szCs w:val="24"/>
    </w:rPr>
  </w:style>
  <w:style w:type="paragraph" w:customStyle="1" w:styleId="63">
    <w:name w:val="Char Char Char1 Char"/>
    <w:basedOn w:val="8"/>
    <w:semiHidden/>
    <w:qFormat/>
    <w:uiPriority w:val="99"/>
    <w:rPr>
      <w:rFonts w:ascii="Tahoma" w:hAnsi="Tahoma" w:cs="Tahoma"/>
      <w:kern w:val="0"/>
      <w:sz w:val="18"/>
      <w:szCs w:val="18"/>
    </w:rPr>
  </w:style>
  <w:style w:type="paragraph" w:customStyle="1" w:styleId="64">
    <w:name w:val="Char Char Char1 Char1"/>
    <w:basedOn w:val="8"/>
    <w:semiHidden/>
    <w:qFormat/>
    <w:uiPriority w:val="99"/>
    <w:rPr>
      <w:rFonts w:ascii="Tahoma" w:hAnsi="Tahoma" w:cs="Tahoma"/>
      <w:kern w:val="0"/>
      <w:sz w:val="18"/>
      <w:szCs w:val="18"/>
    </w:rPr>
  </w:style>
  <w:style w:type="paragraph" w:customStyle="1" w:styleId="65">
    <w:name w:val="列出段落1"/>
    <w:basedOn w:val="1"/>
    <w:qFormat/>
    <w:uiPriority w:val="99"/>
    <w:pPr>
      <w:ind w:firstLine="420" w:firstLineChars="200"/>
    </w:pPr>
  </w:style>
  <w:style w:type="paragraph" w:customStyle="1" w:styleId="66">
    <w:name w:val="p1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7">
    <w:name w:val="reader-word-layer reader-word-s13-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8">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69">
    <w:name w:val="不明显强调1"/>
    <w:basedOn w:val="26"/>
    <w:qFormat/>
    <w:uiPriority w:val="99"/>
    <w:rPr>
      <w:i/>
      <w:iCs/>
      <w:color w:val="auto"/>
    </w:rPr>
  </w:style>
  <w:style w:type="paragraph" w:styleId="70">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styleId="71">
    <w:name w:val="Placeholder Text"/>
    <w:basedOn w:val="26"/>
    <w:qFormat/>
    <w:uiPriority w:val="99"/>
    <w:rPr>
      <w:color w:val="808080"/>
    </w:rPr>
  </w:style>
  <w:style w:type="paragraph" w:customStyle="1" w:styleId="72">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73">
    <w:name w:val="font81"/>
    <w:basedOn w:val="26"/>
    <w:qFormat/>
    <w:uiPriority w:val="99"/>
    <w:rPr>
      <w:rFonts w:ascii="Times New Roman" w:hAnsi="Times New Roman" w:cs="Times New Roman"/>
      <w:b/>
      <w:bCs/>
      <w:color w:val="000000"/>
      <w:sz w:val="28"/>
      <w:szCs w:val="28"/>
      <w:u w:val="none"/>
    </w:rPr>
  </w:style>
  <w:style w:type="character" w:customStyle="1" w:styleId="74">
    <w:name w:val="font61"/>
    <w:basedOn w:val="26"/>
    <w:qFormat/>
    <w:uiPriority w:val="99"/>
    <w:rPr>
      <w:rFonts w:ascii="Times New Roman" w:hAnsi="Times New Roman" w:cs="Times New Roman"/>
      <w:color w:val="000000"/>
      <w:sz w:val="20"/>
      <w:szCs w:val="20"/>
      <w:u w:val="none"/>
    </w:rPr>
  </w:style>
  <w:style w:type="character" w:customStyle="1" w:styleId="75">
    <w:name w:val="font21"/>
    <w:basedOn w:val="26"/>
    <w:qFormat/>
    <w:uiPriority w:val="99"/>
    <w:rPr>
      <w:rFonts w:ascii="Times New Roman" w:hAnsi="Times New Roman" w:cs="Times New Roman"/>
      <w:color w:val="000000"/>
      <w:sz w:val="18"/>
      <w:szCs w:val="18"/>
      <w:u w:val="none"/>
    </w:rPr>
  </w:style>
  <w:style w:type="character" w:customStyle="1" w:styleId="76">
    <w:name w:val="font91"/>
    <w:basedOn w:val="26"/>
    <w:qFormat/>
    <w:uiPriority w:val="99"/>
    <w:rPr>
      <w:rFonts w:ascii="宋体" w:hAnsi="宋体" w:eastAsia="宋体" w:cs="宋体"/>
      <w:color w:val="000000"/>
      <w:sz w:val="18"/>
      <w:szCs w:val="18"/>
      <w:u w:val="none"/>
    </w:rPr>
  </w:style>
  <w:style w:type="character" w:customStyle="1" w:styleId="77">
    <w:name w:val="font111"/>
    <w:basedOn w:val="26"/>
    <w:qFormat/>
    <w:uiPriority w:val="99"/>
    <w:rPr>
      <w:rFonts w:ascii="宋体" w:hAnsi="宋体" w:eastAsia="宋体" w:cs="宋体"/>
      <w:b/>
      <w:bCs/>
      <w:color w:val="000000"/>
      <w:sz w:val="20"/>
      <w:szCs w:val="20"/>
      <w:u w:val="none"/>
    </w:rPr>
  </w:style>
  <w:style w:type="character" w:customStyle="1" w:styleId="78">
    <w:name w:val="font12"/>
    <w:basedOn w:val="26"/>
    <w:qFormat/>
    <w:uiPriority w:val="99"/>
    <w:rPr>
      <w:rFonts w:ascii="Times New Roman" w:hAnsi="Times New Roman" w:cs="Times New Roman"/>
      <w:b/>
      <w:bCs/>
      <w:color w:val="000000"/>
      <w:sz w:val="20"/>
      <w:szCs w:val="20"/>
      <w:u w:val="none"/>
    </w:rPr>
  </w:style>
  <w:style w:type="character" w:customStyle="1" w:styleId="79">
    <w:name w:val="font71"/>
    <w:basedOn w:val="26"/>
    <w:qFormat/>
    <w:uiPriority w:val="99"/>
    <w:rPr>
      <w:rFonts w:ascii="Times New Roman" w:hAnsi="Times New Roman" w:cs="Times New Roman"/>
      <w:color w:val="000000"/>
      <w:sz w:val="20"/>
      <w:szCs w:val="20"/>
      <w:u w:val="none"/>
      <w:vertAlign w:val="superscript"/>
    </w:rPr>
  </w:style>
  <w:style w:type="character" w:customStyle="1" w:styleId="80">
    <w:name w:val="font01"/>
    <w:basedOn w:val="26"/>
    <w:qFormat/>
    <w:uiPriority w:val="99"/>
    <w:rPr>
      <w:rFonts w:ascii="Times New Roman" w:hAnsi="Times New Roman" w:cs="Times New Roman"/>
      <w:b/>
      <w:bCs/>
      <w:color w:val="000000"/>
      <w:sz w:val="20"/>
      <w:szCs w:val="20"/>
      <w:u w:val="none"/>
      <w:vertAlign w:val="superscript"/>
    </w:rPr>
  </w:style>
  <w:style w:type="character" w:customStyle="1" w:styleId="81">
    <w:name w:val="font11"/>
    <w:basedOn w:val="26"/>
    <w:qFormat/>
    <w:uiPriority w:val="99"/>
    <w:rPr>
      <w:rFonts w:ascii="Times New Roman" w:hAnsi="Times New Roman" w:cs="Times New Roman"/>
      <w:b/>
      <w:bCs/>
      <w:color w:val="000000"/>
      <w:sz w:val="20"/>
      <w:szCs w:val="20"/>
      <w:u w:val="none"/>
    </w:rPr>
  </w:style>
  <w:style w:type="character" w:customStyle="1" w:styleId="82">
    <w:name w:val="font141"/>
    <w:basedOn w:val="26"/>
    <w:qFormat/>
    <w:uiPriority w:val="99"/>
    <w:rPr>
      <w:rFonts w:ascii="Times New Roman" w:hAnsi="Times New Roman" w:cs="Times New Roman"/>
      <w:color w:val="000000"/>
      <w:sz w:val="20"/>
      <w:szCs w:val="20"/>
      <w:u w:val="none"/>
      <w:vertAlign w:val="superscript"/>
    </w:rPr>
  </w:style>
  <w:style w:type="paragraph" w:customStyle="1" w:styleId="83">
    <w:name w:val="表行"/>
    <w:basedOn w:val="1"/>
    <w:qFormat/>
    <w:uiPriority w:val="99"/>
    <w:pPr>
      <w:spacing w:beforeLines="50" w:afterLines="50"/>
    </w:pPr>
    <w:rPr>
      <w:kern w:val="0"/>
    </w:rPr>
  </w:style>
  <w:style w:type="character" w:customStyle="1" w:styleId="84">
    <w:name w:val="未处理的提及1"/>
    <w:basedOn w:val="26"/>
    <w:semiHidden/>
    <w:qFormat/>
    <w:uiPriority w:val="99"/>
    <w:rPr>
      <w:color w:val="auto"/>
      <w:shd w:val="clear" w:color="auto" w:fill="auto"/>
    </w:rPr>
  </w:style>
  <w:style w:type="paragraph" w:customStyle="1" w:styleId="85">
    <w:name w:val="Char Char Char Char Char Char"/>
    <w:basedOn w:val="1"/>
    <w:qFormat/>
    <w:uiPriority w:val="99"/>
    <w:pPr>
      <w:widowControl/>
      <w:spacing w:after="160" w:line="240" w:lineRule="exact"/>
      <w:jc w:val="left"/>
    </w:pPr>
    <w:rPr>
      <w:kern w:val="0"/>
      <w:sz w:val="20"/>
      <w:szCs w:val="20"/>
    </w:rPr>
  </w:style>
  <w:style w:type="paragraph" w:customStyle="1" w:styleId="86">
    <w:name w:val="Table Paragraph"/>
    <w:basedOn w:val="1"/>
    <w:qFormat/>
    <w:uiPriority w:val="0"/>
    <w:rPr>
      <w:rFonts w:ascii="Calibri" w:hAnsi="Calibri" w:eastAsia="宋体" w:cs="Times New Roman"/>
    </w:rPr>
  </w:style>
  <w:style w:type="paragraph" w:customStyle="1" w:styleId="87">
    <w:name w:val="正文，首行缩进"/>
    <w:basedOn w:val="9"/>
    <w:next w:val="7"/>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360" w:lineRule="auto"/>
      <w:ind w:firstLine="24"/>
      <w:jc w:val="left"/>
    </w:pPr>
    <w:rPr>
      <w:rFonts w:ascii="仿宋_GB2312" w:hAnsi="新宋体" w:eastAsia="仿宋_GB2312" w:cs="Times New Roman"/>
      <w:kern w:val="0"/>
      <w:sz w:val="28"/>
      <w:szCs w:val="28"/>
      <w:lang w:val="de-D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10670</Words>
  <Characters>11091</Characters>
  <Lines>101</Lines>
  <Paragraphs>28</Paragraphs>
  <TotalTime>1</TotalTime>
  <ScaleCrop>false</ScaleCrop>
  <LinksUpToDate>false</LinksUpToDate>
  <CharactersWithSpaces>11742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2022-04-19T09:29:00Z</dcterms:created>
  <dc:creator>hushengguang</dc:creator>
  <cp:lastModifiedBy>碧水云9</cp:lastModifiedBy>
  <cp:lastPrinted>2019-09-03T07:09:00Z</cp:lastPrinted>
  <dcterms:modified xsi:type="dcterms:W3CDTF">2023-03-22T08:05:57Z</dcterms:modified>
  <dc:title>附件三：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7622FB2F5E7A46E785245C7B2B209A31</vt:lpwstr>
  </property>
</Properties>
</file>